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37CD7BC" w14:textId="0320DBFE" w:rsidR="005E0CC3" w:rsidRPr="00946FD0" w:rsidRDefault="005E0CC3" w:rsidP="005E0CC3">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7D55C2">
        <w:rPr>
          <w:rFonts w:ascii="Arial" w:eastAsia="等线" w:hAnsi="Arial"/>
          <w:b/>
          <w:noProof/>
          <w:sz w:val="24"/>
          <w:szCs w:val="21"/>
        </w:rPr>
        <w:t>130</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7D55C2">
        <w:rPr>
          <w:rFonts w:ascii="Arial" w:eastAsia="等线" w:hAnsi="Arial"/>
          <w:b/>
          <w:noProof/>
          <w:sz w:val="24"/>
          <w:szCs w:val="21"/>
        </w:rPr>
        <w:t xml:space="preserve">     </w:t>
      </w:r>
      <w:r>
        <w:rPr>
          <w:rFonts w:ascii="Arial" w:eastAsia="等线" w:hAnsi="Arial"/>
          <w:b/>
          <w:noProof/>
          <w:sz w:val="24"/>
          <w:szCs w:val="21"/>
        </w:rPr>
        <w:t xml:space="preserve"> </w:t>
      </w:r>
      <w:r w:rsidR="00F55B33" w:rsidRPr="00F55B33">
        <w:rPr>
          <w:rFonts w:ascii="Arial" w:eastAsia="等线" w:hAnsi="Arial"/>
          <w:b/>
          <w:noProof/>
          <w:sz w:val="24"/>
          <w:szCs w:val="21"/>
        </w:rPr>
        <w:t>R2-2503354</w:t>
      </w:r>
    </w:p>
    <w:p w14:paraId="076D1C32" w14:textId="0A512BEB" w:rsidR="005E0CC3" w:rsidRPr="002D024B" w:rsidRDefault="007D55C2" w:rsidP="005E0CC3">
      <w:pPr>
        <w:tabs>
          <w:tab w:val="left" w:pos="1985"/>
          <w:tab w:val="left" w:pos="8931"/>
        </w:tabs>
        <w:adjustRightInd w:val="0"/>
        <w:snapToGrid w:val="0"/>
        <w:spacing w:after="0" w:line="240" w:lineRule="auto"/>
        <w:rPr>
          <w:rFonts w:ascii="Arial" w:eastAsia="等线" w:hAnsi="Arial"/>
          <w:b/>
          <w:sz w:val="24"/>
          <w:szCs w:val="21"/>
        </w:rPr>
      </w:pPr>
      <w:r w:rsidRPr="007D55C2">
        <w:rPr>
          <w:rFonts w:ascii="Arial" w:eastAsia="等线" w:hAnsi="Arial"/>
          <w:b/>
          <w:sz w:val="24"/>
          <w:szCs w:val="21"/>
        </w:rPr>
        <w:t>St.</w:t>
      </w:r>
      <w:r w:rsidR="00F55B33">
        <w:rPr>
          <w:rFonts w:ascii="Arial" w:eastAsia="等线" w:hAnsi="Arial"/>
          <w:b/>
          <w:sz w:val="24"/>
          <w:szCs w:val="21"/>
        </w:rPr>
        <w:t xml:space="preserve"> </w:t>
      </w:r>
      <w:r w:rsidRPr="007D55C2">
        <w:rPr>
          <w:rFonts w:ascii="Arial" w:eastAsia="等线" w:hAnsi="Arial"/>
          <w:b/>
          <w:sz w:val="24"/>
          <w:szCs w:val="21"/>
        </w:rPr>
        <w:t>Julian</w:t>
      </w:r>
      <w:r w:rsidR="00F55B33">
        <w:rPr>
          <w:rFonts w:ascii="Arial" w:eastAsia="等线" w:hAnsi="Arial"/>
          <w:b/>
          <w:sz w:val="24"/>
          <w:szCs w:val="21"/>
        </w:rPr>
        <w:t>’</w:t>
      </w:r>
      <w:r w:rsidRPr="007D55C2">
        <w:rPr>
          <w:rFonts w:ascii="Arial" w:eastAsia="等线" w:hAnsi="Arial"/>
          <w:b/>
          <w:sz w:val="24"/>
          <w:szCs w:val="21"/>
        </w:rPr>
        <w:t>s, Malta,</w:t>
      </w:r>
      <w:r>
        <w:rPr>
          <w:rFonts w:ascii="Arial" w:eastAsia="等线" w:hAnsi="Arial"/>
          <w:b/>
          <w:sz w:val="24"/>
          <w:szCs w:val="21"/>
        </w:rPr>
        <w:t xml:space="preserve"> </w:t>
      </w:r>
      <w:r w:rsidRPr="007D55C2">
        <w:rPr>
          <w:rFonts w:ascii="Arial" w:eastAsia="等线" w:hAnsi="Arial"/>
          <w:b/>
          <w:sz w:val="24"/>
          <w:szCs w:val="21"/>
        </w:rPr>
        <w:t>May 19</w:t>
      </w:r>
      <w:r w:rsidRPr="007D55C2">
        <w:rPr>
          <w:rFonts w:ascii="Arial" w:eastAsia="等线" w:hAnsi="Arial"/>
          <w:b/>
          <w:sz w:val="24"/>
          <w:szCs w:val="21"/>
          <w:vertAlign w:val="superscript"/>
        </w:rPr>
        <w:t>th</w:t>
      </w:r>
      <w:r w:rsidRPr="007D55C2">
        <w:rPr>
          <w:rFonts w:ascii="Arial" w:eastAsia="等线" w:hAnsi="Arial"/>
          <w:b/>
          <w:sz w:val="24"/>
          <w:szCs w:val="21"/>
        </w:rPr>
        <w:t xml:space="preserve"> – 23</w:t>
      </w:r>
      <w:r w:rsidRPr="007D55C2">
        <w:rPr>
          <w:rFonts w:ascii="Arial" w:eastAsia="等线" w:hAnsi="Arial"/>
          <w:b/>
          <w:sz w:val="24"/>
          <w:szCs w:val="21"/>
          <w:vertAlign w:val="superscript"/>
        </w:rPr>
        <w:t>rd</w:t>
      </w:r>
      <w:r w:rsidR="005E0CC3" w:rsidRPr="009D0BF3">
        <w:rPr>
          <w:rFonts w:ascii="Arial" w:eastAsia="等线" w:hAnsi="Arial"/>
          <w:b/>
          <w:sz w:val="24"/>
          <w:szCs w:val="21"/>
        </w:rPr>
        <w:t>, 202</w:t>
      </w:r>
      <w:r w:rsidR="005E0CC3">
        <w:rPr>
          <w:rFonts w:ascii="Arial" w:eastAsia="等线" w:hAnsi="Arial"/>
          <w:b/>
          <w:sz w:val="24"/>
          <w:szCs w:val="21"/>
        </w:rPr>
        <w:t>5</w:t>
      </w:r>
      <w:r w:rsidR="005E0CC3" w:rsidRPr="009D0BF3">
        <w:rPr>
          <w:rFonts w:ascii="Arial" w:eastAsia="等线" w:hAnsi="Arial"/>
          <w:b/>
          <w:sz w:val="24"/>
          <w:szCs w:val="21"/>
        </w:rPr>
        <w:t xml:space="preserve"> </w:t>
      </w:r>
    </w:p>
    <w:p w14:paraId="2A9CDBBA" w14:textId="77777777" w:rsidR="00FD5B3E" w:rsidRPr="00484251" w:rsidRDefault="00FD5B3E" w:rsidP="00FD5B3E">
      <w:pPr>
        <w:adjustRightInd w:val="0"/>
        <w:snapToGrid w:val="0"/>
        <w:spacing w:after="0" w:line="240" w:lineRule="auto"/>
        <w:ind w:left="1920" w:hangingChars="800" w:hanging="1920"/>
        <w:rPr>
          <w:rFonts w:ascii="Arial" w:hAnsi="Arial" w:cs="Arial"/>
          <w:b/>
          <w:bCs/>
          <w:sz w:val="24"/>
          <w:szCs w:val="24"/>
        </w:rPr>
      </w:pPr>
    </w:p>
    <w:p w14:paraId="19660951" w14:textId="2FD25455"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E82D07" w:rsidRPr="00E82D07">
        <w:rPr>
          <w:rFonts w:ascii="Arial" w:hAnsi="Arial" w:cs="Arial"/>
          <w:b/>
          <w:bCs/>
          <w:sz w:val="24"/>
          <w:szCs w:val="24"/>
          <w:lang w:val="en-US"/>
        </w:rPr>
        <w:t>8.9.2</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64AE0AD8"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E82D07" w:rsidRPr="00E82D07">
        <w:rPr>
          <w:rFonts w:ascii="Arial" w:hAnsi="Arial" w:cs="Arial"/>
          <w:b/>
          <w:bCs/>
          <w:sz w:val="24"/>
          <w:szCs w:val="24"/>
          <w:lang w:val="en-US"/>
        </w:rPr>
        <w:t>Further Discussion on S&amp;F Operation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04583B1C" w:rsidR="00173B5A" w:rsidRDefault="002B51A0"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w:t>
      </w:r>
      <w:r w:rsidR="00651F76">
        <w:rPr>
          <w:rStyle w:val="IvDbodytextChar"/>
          <w:rFonts w:ascii="Times New Roman" w:hAnsi="Times New Roman" w:cs="Times New Roman"/>
          <w:sz w:val="20"/>
          <w:szCs w:val="20"/>
          <w:lang w:eastAsia="zh-CN"/>
        </w:rPr>
        <w:t xml:space="preserve"> </w:t>
      </w:r>
      <w:r w:rsidR="002A7A7A">
        <w:rPr>
          <w:rStyle w:val="IvDbodytextChar"/>
          <w:rFonts w:ascii="Times New Roman" w:hAnsi="Times New Roman" w:cs="Times New Roman"/>
          <w:sz w:val="20"/>
          <w:szCs w:val="20"/>
          <w:lang w:eastAsia="zh-CN"/>
        </w:rPr>
        <w:t>R</w:t>
      </w:r>
      <w:r>
        <w:rPr>
          <w:rStyle w:val="IvDbodytextChar"/>
          <w:rFonts w:ascii="Times New Roman" w:hAnsi="Times New Roman" w:cs="Times New Roman"/>
          <w:sz w:val="20"/>
          <w:szCs w:val="20"/>
          <w:lang w:eastAsia="zh-CN"/>
        </w:rPr>
        <w:t>AN</w:t>
      </w:r>
      <w:r w:rsidR="00173B5A">
        <w:rPr>
          <w:rStyle w:val="IvDbodytextChar"/>
          <w:rFonts w:ascii="Times New Roman" w:hAnsi="Times New Roman" w:cs="Times New Roman"/>
          <w:sz w:val="20"/>
          <w:szCs w:val="20"/>
          <w:lang w:eastAsia="zh-CN"/>
        </w:rPr>
        <w:t>2</w:t>
      </w:r>
      <w:r>
        <w:rPr>
          <w:rStyle w:val="IvDbodytextChar"/>
          <w:rFonts w:ascii="Times New Roman" w:hAnsi="Times New Roman" w:cs="Times New Roman"/>
          <w:sz w:val="20"/>
          <w:szCs w:val="20"/>
          <w:lang w:eastAsia="zh-CN"/>
        </w:rPr>
        <w:t>#</w:t>
      </w:r>
      <w:r w:rsidR="00173B5A">
        <w:rPr>
          <w:rStyle w:val="IvDbodytextChar"/>
          <w:rFonts w:ascii="Times New Roman" w:hAnsi="Times New Roman" w:cs="Times New Roman"/>
          <w:sz w:val="20"/>
          <w:szCs w:val="20"/>
          <w:lang w:eastAsia="zh-CN"/>
        </w:rPr>
        <w:t>1</w:t>
      </w:r>
      <w:r w:rsidR="008C7A93">
        <w:rPr>
          <w:rStyle w:val="IvDbodytextChar"/>
          <w:rFonts w:ascii="Times New Roman" w:hAnsi="Times New Roman" w:cs="Times New Roman"/>
          <w:sz w:val="20"/>
          <w:szCs w:val="20"/>
          <w:lang w:eastAsia="zh-CN"/>
        </w:rPr>
        <w:t>2</w:t>
      </w:r>
      <w:r w:rsidR="00F46BA2">
        <w:rPr>
          <w:rStyle w:val="IvDbodytextChar"/>
          <w:rFonts w:ascii="Times New Roman" w:hAnsi="Times New Roman" w:cs="Times New Roman"/>
          <w:sz w:val="20"/>
          <w:szCs w:val="20"/>
          <w:lang w:eastAsia="zh-CN"/>
        </w:rPr>
        <w:t>9</w:t>
      </w:r>
      <w:r w:rsidR="000B0F87">
        <w:rPr>
          <w:rStyle w:val="IvDbodytextChar"/>
          <w:rFonts w:ascii="Times New Roman" w:hAnsi="Times New Roman" w:cs="Times New Roman"/>
          <w:sz w:val="20"/>
          <w:szCs w:val="20"/>
          <w:lang w:eastAsia="zh-CN"/>
        </w:rPr>
        <w:t>bis</w:t>
      </w:r>
      <w:r w:rsidR="001C201B">
        <w:rPr>
          <w:rStyle w:val="IvDbodytextChar"/>
          <w:rFonts w:ascii="Times New Roman" w:hAnsi="Times New Roman" w:cs="Times New Roman"/>
          <w:sz w:val="20"/>
          <w:szCs w:val="20"/>
          <w:lang w:eastAsia="zh-CN"/>
        </w:rPr>
        <w:t xml:space="preserve"> </w:t>
      </w:r>
      <w:r w:rsidR="001C201B" w:rsidRPr="001C5B2B">
        <w:rPr>
          <w:rStyle w:val="IvDbodytextChar"/>
          <w:rFonts w:ascii="Times New Roman" w:hAnsi="Times New Roman" w:cs="Times New Roman" w:hint="eastAsia"/>
          <w:sz w:val="20"/>
          <w:szCs w:val="20"/>
          <w:lang w:eastAsia="zh-CN"/>
        </w:rPr>
        <w:t>[</w:t>
      </w:r>
      <w:r w:rsidR="001C201B" w:rsidRPr="001C5B2B">
        <w:rPr>
          <w:rStyle w:val="IvDbodytextChar"/>
          <w:rFonts w:ascii="Times New Roman" w:hAnsi="Times New Roman" w:cs="Times New Roman"/>
          <w:sz w:val="20"/>
          <w:szCs w:val="20"/>
          <w:lang w:eastAsia="zh-CN"/>
        </w:rPr>
        <w:t>1]</w:t>
      </w:r>
      <w:r>
        <w:rPr>
          <w:rStyle w:val="IvDbodytextChar"/>
          <w:rFonts w:ascii="Times New Roman" w:hAnsi="Times New Roman" w:cs="Times New Roman"/>
          <w:sz w:val="20"/>
          <w:szCs w:val="20"/>
          <w:lang w:eastAsia="zh-CN"/>
        </w:rPr>
        <w:t>,</w:t>
      </w:r>
      <w:r w:rsidR="002A7A7A">
        <w:rPr>
          <w:rStyle w:val="IvDbodytextChar"/>
          <w:rFonts w:ascii="Times New Roman" w:hAnsi="Times New Roman" w:cs="Times New Roman"/>
          <w:sz w:val="20"/>
          <w:szCs w:val="20"/>
          <w:lang w:eastAsia="zh-CN"/>
        </w:rPr>
        <w:t xml:space="preserve"> </w:t>
      </w:r>
      <w:r w:rsidR="00651F76">
        <w:rPr>
          <w:rStyle w:val="IvDbodytextChar"/>
          <w:rFonts w:ascii="Times New Roman" w:hAnsi="Times New Roman" w:cs="Times New Roman"/>
          <w:sz w:val="20"/>
          <w:szCs w:val="20"/>
          <w:lang w:eastAsia="zh-CN"/>
        </w:rPr>
        <w:t xml:space="preserve">the issue </w:t>
      </w:r>
      <w:r w:rsidR="0073775E">
        <w:rPr>
          <w:rStyle w:val="IvDbodytextChar"/>
          <w:rFonts w:ascii="Times New Roman" w:hAnsi="Times New Roman" w:cs="Times New Roman"/>
          <w:sz w:val="20"/>
          <w:szCs w:val="20"/>
          <w:lang w:eastAsia="zh-CN"/>
        </w:rPr>
        <w:t>of</w:t>
      </w:r>
      <w:r w:rsidR="00651F76">
        <w:rPr>
          <w:rStyle w:val="IvDbodytextChar"/>
          <w:rFonts w:ascii="Times New Roman" w:hAnsi="Times New Roman" w:cs="Times New Roman"/>
          <w:sz w:val="20"/>
          <w:szCs w:val="20"/>
          <w:lang w:eastAsia="zh-CN"/>
        </w:rPr>
        <w:t xml:space="preserve"> </w:t>
      </w:r>
      <w:r w:rsidR="00E82D07">
        <w:rPr>
          <w:rStyle w:val="IvDbodytextChar"/>
          <w:rFonts w:ascii="Times New Roman" w:hAnsi="Times New Roman" w:cs="Times New Roman"/>
          <w:sz w:val="20"/>
          <w:szCs w:val="20"/>
          <w:lang w:eastAsia="zh-CN"/>
        </w:rPr>
        <w:t>S&amp;F operation</w:t>
      </w:r>
      <w:r w:rsidR="00651F76">
        <w:rPr>
          <w:rStyle w:val="IvDbodytextChar"/>
          <w:rFonts w:ascii="Times New Roman" w:hAnsi="Times New Roman" w:cs="Times New Roman"/>
          <w:sz w:val="20"/>
          <w:szCs w:val="20"/>
          <w:lang w:eastAsia="zh-CN"/>
        </w:rPr>
        <w:t xml:space="preserve"> was discussed and the following agreements were made</w:t>
      </w:r>
      <w:r w:rsidR="0017342D">
        <w:rPr>
          <w:rStyle w:val="IvDbodytextChar"/>
          <w:rFonts w:ascii="Times New Roman" w:hAnsi="Times New Roman" w:cs="Times New Roman"/>
          <w:sz w:val="20"/>
          <w:szCs w:val="20"/>
          <w:lang w:eastAsia="zh-CN"/>
        </w:rPr>
        <w:t>.</w:t>
      </w:r>
    </w:p>
    <w:tbl>
      <w:tblPr>
        <w:tblStyle w:val="af3"/>
        <w:tblW w:w="0" w:type="auto"/>
        <w:tblLook w:val="04A0" w:firstRow="1" w:lastRow="0" w:firstColumn="1" w:lastColumn="0" w:noHBand="0" w:noVBand="1"/>
      </w:tblPr>
      <w:tblGrid>
        <w:gridCol w:w="9629"/>
      </w:tblGrid>
      <w:tr w:rsidR="0017342D" w14:paraId="51C50C51" w14:textId="77777777" w:rsidTr="0017342D">
        <w:tc>
          <w:tcPr>
            <w:tcW w:w="9629" w:type="dxa"/>
          </w:tcPr>
          <w:p w14:paraId="0CDE8280" w14:textId="51BC2B83" w:rsidR="000B0F87" w:rsidRPr="000B0F87" w:rsidRDefault="000B0F87" w:rsidP="000B0F87">
            <w:pPr>
              <w:tabs>
                <w:tab w:val="left" w:pos="1619"/>
              </w:tabs>
              <w:spacing w:before="60" w:after="0" w:line="240" w:lineRule="auto"/>
              <w:rPr>
                <w:rFonts w:eastAsia="MS Mincho"/>
                <w:b/>
                <w:szCs w:val="24"/>
                <w:lang w:eastAsia="en-GB"/>
              </w:rPr>
            </w:pPr>
            <w:r w:rsidRPr="000B0F87">
              <w:rPr>
                <w:rFonts w:eastAsia="MS Mincho"/>
                <w:b/>
                <w:szCs w:val="24"/>
                <w:lang w:eastAsia="en-GB"/>
              </w:rPr>
              <w:t>Agreements</w:t>
            </w:r>
            <w:r w:rsidR="009C5B52">
              <w:rPr>
                <w:rFonts w:eastAsia="MS Mincho"/>
                <w:b/>
                <w:szCs w:val="24"/>
                <w:lang w:eastAsia="en-GB"/>
              </w:rPr>
              <w:t>:</w:t>
            </w:r>
          </w:p>
          <w:p w14:paraId="116ADFA0" w14:textId="466E23B2" w:rsidR="00E82D07" w:rsidRPr="00EF5794" w:rsidRDefault="00E82D07" w:rsidP="005E3A70">
            <w:pPr>
              <w:pStyle w:val="afb"/>
              <w:numPr>
                <w:ilvl w:val="0"/>
                <w:numId w:val="41"/>
              </w:numPr>
              <w:tabs>
                <w:tab w:val="left" w:pos="1619"/>
              </w:tabs>
              <w:spacing w:before="60" w:line="240" w:lineRule="auto"/>
              <w:ind w:left="284" w:hanging="284"/>
              <w:rPr>
                <w:rFonts w:ascii="Times New Roman" w:eastAsia="MS Mincho" w:hAnsi="Times New Roman" w:cs="Times New Roman"/>
                <w:bCs/>
                <w:szCs w:val="24"/>
                <w:lang w:eastAsia="en-GB"/>
              </w:rPr>
            </w:pPr>
            <w:r w:rsidRPr="00EF5794">
              <w:rPr>
                <w:rFonts w:ascii="Times New Roman" w:eastAsia="MS Mincho" w:hAnsi="Times New Roman" w:cs="Times New Roman"/>
                <w:bCs/>
                <w:szCs w:val="24"/>
                <w:lang w:eastAsia="en-GB"/>
              </w:rPr>
              <w:t>For UEs supporting S&amp;F, the UE AS indicates the information on transition time (if any) from current "S&amp;F operation mode" to "normal mode" (if received) to the upper layers. Whether/how it is used by the upper layers is up to CT1.</w:t>
            </w:r>
          </w:p>
          <w:p w14:paraId="4C11C1FC" w14:textId="6A488C15" w:rsidR="00E82D07" w:rsidRPr="00EF5794" w:rsidRDefault="00E82D07" w:rsidP="005E3A70">
            <w:pPr>
              <w:pStyle w:val="afb"/>
              <w:numPr>
                <w:ilvl w:val="0"/>
                <w:numId w:val="41"/>
              </w:numPr>
              <w:tabs>
                <w:tab w:val="left" w:pos="1619"/>
              </w:tabs>
              <w:spacing w:before="60" w:line="240" w:lineRule="auto"/>
              <w:ind w:left="284" w:hanging="284"/>
              <w:rPr>
                <w:rFonts w:ascii="Times New Roman" w:eastAsia="MS Mincho" w:hAnsi="Times New Roman" w:cs="Times New Roman"/>
                <w:bCs/>
                <w:szCs w:val="24"/>
                <w:lang w:eastAsia="en-GB"/>
              </w:rPr>
            </w:pPr>
            <w:r w:rsidRPr="00EF5794">
              <w:rPr>
                <w:rFonts w:ascii="Times New Roman" w:eastAsia="MS Mincho" w:hAnsi="Times New Roman" w:cs="Times New Roman"/>
                <w:bCs/>
                <w:szCs w:val="24"/>
                <w:lang w:eastAsia="en-GB"/>
              </w:rPr>
              <w:t xml:space="preserve">We introduce an indication in system information for the normal mode to S&amp;F mode transition, at least for NAS use. </w:t>
            </w:r>
            <w:r w:rsidRPr="00EF5794">
              <w:rPr>
                <w:rFonts w:ascii="Times New Roman" w:eastAsia="MS Mincho" w:hAnsi="Times New Roman" w:cs="Times New Roman"/>
                <w:bCs/>
                <w:szCs w:val="24"/>
                <w:highlight w:val="yellow"/>
                <w:lang w:eastAsia="en-GB"/>
              </w:rPr>
              <w:t>FFS on the details (e.g. whether we can link this to other existing information).</w:t>
            </w:r>
            <w:r w:rsidRPr="00EF5794">
              <w:rPr>
                <w:rFonts w:ascii="Times New Roman" w:eastAsia="MS Mincho" w:hAnsi="Times New Roman" w:cs="Times New Roman"/>
                <w:bCs/>
                <w:szCs w:val="24"/>
                <w:lang w:eastAsia="en-GB"/>
              </w:rPr>
              <w:t xml:space="preserve"> The information on transition time for the normal mode to S&amp;F mode transition is sent from AS to NAS</w:t>
            </w:r>
            <w:r w:rsidR="00FA294E" w:rsidRPr="00EF5794">
              <w:rPr>
                <w:rFonts w:ascii="Times New Roman" w:eastAsia="MS Mincho" w:hAnsi="Times New Roman" w:cs="Times New Roman"/>
                <w:szCs w:val="24"/>
                <w:lang w:eastAsia="en-GB"/>
              </w:rPr>
              <w:t>.</w:t>
            </w:r>
          </w:p>
          <w:p w14:paraId="2976E893" w14:textId="4958AF43" w:rsidR="0017342D" w:rsidRPr="005E0CC3" w:rsidRDefault="00E82D07" w:rsidP="00FA294E">
            <w:pPr>
              <w:pStyle w:val="afb"/>
              <w:numPr>
                <w:ilvl w:val="0"/>
                <w:numId w:val="41"/>
              </w:numPr>
              <w:tabs>
                <w:tab w:val="left" w:pos="1619"/>
              </w:tabs>
              <w:spacing w:before="60" w:after="120" w:line="240" w:lineRule="auto"/>
              <w:ind w:left="284" w:hanging="284"/>
              <w:rPr>
                <w:rStyle w:val="IvDbodytextChar"/>
                <w:rFonts w:ascii="Times New Roman" w:eastAsia="MS Mincho" w:hAnsi="Times New Roman" w:cs="Times New Roman"/>
                <w:i/>
                <w:spacing w:val="0"/>
                <w:kern w:val="0"/>
                <w:sz w:val="20"/>
                <w:szCs w:val="20"/>
                <w:lang w:eastAsia="en-GB"/>
              </w:rPr>
            </w:pPr>
            <w:r w:rsidRPr="00EF5794">
              <w:rPr>
                <w:rFonts w:ascii="Times New Roman" w:eastAsia="MS Mincho" w:hAnsi="Times New Roman" w:cs="Times New Roman"/>
                <w:bCs/>
                <w:szCs w:val="24"/>
                <w:lang w:eastAsia="en-GB"/>
              </w:rPr>
              <w:t>We don’t introduce any new release cause related to S&amp;F operation</w:t>
            </w:r>
            <w:r w:rsidR="00FA294E" w:rsidRPr="00EF5794">
              <w:rPr>
                <w:rFonts w:ascii="Times New Roman" w:eastAsia="MS Mincho" w:hAnsi="Times New Roman" w:cs="Times New Roman"/>
                <w:szCs w:val="24"/>
                <w:lang w:eastAsia="en-GB"/>
              </w:rPr>
              <w:t>.</w:t>
            </w:r>
          </w:p>
        </w:tc>
      </w:tr>
    </w:tbl>
    <w:p w14:paraId="72E9E241" w14:textId="361F91E6" w:rsidR="007D6281" w:rsidRDefault="007302D4" w:rsidP="005E0CC3">
      <w:pPr>
        <w:spacing w:before="120" w:after="120" w:line="240" w:lineRule="auto"/>
        <w:jc w:val="both"/>
      </w:pPr>
      <w:r>
        <w:t xml:space="preserve">Moreover, RAN2 discussed whether UE to prioritise frequency/cell corresponding to the satellite(s) indicated in the MME-configured satellite list. </w:t>
      </w:r>
      <w:r w:rsidR="00A917F3">
        <w:t>However, it was</w:t>
      </w:r>
      <w:r w:rsidR="009739A8">
        <w:t xml:space="preserve"> </w:t>
      </w:r>
      <w:r>
        <w:t>postponed</w:t>
      </w:r>
      <w:r w:rsidR="007D6281">
        <w:t>.</w:t>
      </w:r>
    </w:p>
    <w:tbl>
      <w:tblPr>
        <w:tblStyle w:val="af3"/>
        <w:tblW w:w="0" w:type="auto"/>
        <w:tblLook w:val="04A0" w:firstRow="1" w:lastRow="0" w:firstColumn="1" w:lastColumn="0" w:noHBand="0" w:noVBand="1"/>
      </w:tblPr>
      <w:tblGrid>
        <w:gridCol w:w="9629"/>
      </w:tblGrid>
      <w:tr w:rsidR="007D6281" w14:paraId="0DC4A550" w14:textId="77777777" w:rsidTr="007D6281">
        <w:tc>
          <w:tcPr>
            <w:tcW w:w="9629" w:type="dxa"/>
          </w:tcPr>
          <w:p w14:paraId="50F9AA8D" w14:textId="77777777" w:rsidR="007D6281" w:rsidRPr="0039523F" w:rsidRDefault="007D6281" w:rsidP="007D6281">
            <w:pPr>
              <w:spacing w:before="40" w:after="0" w:line="240" w:lineRule="auto"/>
              <w:rPr>
                <w:rFonts w:eastAsia="MS Mincho"/>
                <w:i/>
                <w:sz w:val="18"/>
                <w:szCs w:val="24"/>
                <w:lang w:eastAsia="en-GB"/>
              </w:rPr>
            </w:pPr>
            <w:r w:rsidRPr="0039523F">
              <w:rPr>
                <w:rFonts w:eastAsia="MS Mincho"/>
                <w:i/>
                <w:sz w:val="18"/>
                <w:szCs w:val="24"/>
                <w:lang w:eastAsia="en-GB"/>
              </w:rPr>
              <w:t>Proposal 1: During cell reselection procedure, UE may prioritize frequency(ies)/cell(s) corresponding to the satellite(s) indicated in the MME-configured satellite list.</w:t>
            </w:r>
          </w:p>
          <w:p w14:paraId="1510B1C0"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Google supports this. CMCC supports this but thinks this would apply to UEs supporting S&amp;F</w:t>
            </w:r>
          </w:p>
          <w:p w14:paraId="3C7FD403"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IDC thinks we don’t have cell specific priorities but only frequency priorities. Also what does it means that the UE prioritizes. IDC also thinks that NB-IoT does not support priority based cell reselection.</w:t>
            </w:r>
          </w:p>
          <w:p w14:paraId="0EF558F3"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Nokia does not support this and thinks the observations do not refer to cell reselection</w:t>
            </w:r>
          </w:p>
          <w:p w14:paraId="75621E4B"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QC thinks p1 and p1a are in contradiction (p1 relates to MME configured satellite list)</w:t>
            </w:r>
          </w:p>
          <w:p w14:paraId="5031100B"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Novamint supports the principle of p1 and p1a</w:t>
            </w:r>
          </w:p>
          <w:p w14:paraId="054145F3"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 xml:space="preserve">Samsung wonders if there will be many satellites the UE can prioritize </w:t>
            </w:r>
          </w:p>
          <w:p w14:paraId="3425277C" w14:textId="77777777" w:rsidR="007D6281" w:rsidRPr="0039523F" w:rsidRDefault="007D6281" w:rsidP="007D6281">
            <w:pPr>
              <w:tabs>
                <w:tab w:val="left" w:pos="1622"/>
              </w:tabs>
              <w:spacing w:after="0" w:line="240" w:lineRule="auto"/>
              <w:ind w:left="1622" w:hanging="363"/>
              <w:rPr>
                <w:rFonts w:eastAsia="MS Mincho"/>
                <w:szCs w:val="24"/>
                <w:lang w:eastAsia="en-GB"/>
              </w:rPr>
            </w:pPr>
            <w:r w:rsidRPr="0039523F">
              <w:rPr>
                <w:rFonts w:eastAsia="MS Mincho"/>
                <w:szCs w:val="24"/>
                <w:lang w:eastAsia="en-GB"/>
              </w:rPr>
              <w:t>-</w:t>
            </w:r>
            <w:r w:rsidRPr="0039523F">
              <w:rPr>
                <w:rFonts w:eastAsia="MS Mincho"/>
                <w:szCs w:val="24"/>
                <w:lang w:eastAsia="en-GB"/>
              </w:rPr>
              <w:tab/>
              <w:t>Xiaomi thinks p1 makes sense if there are only S&amp;F mode cells around.</w:t>
            </w:r>
          </w:p>
          <w:p w14:paraId="7855C71D" w14:textId="026321CB" w:rsidR="007D6281" w:rsidRPr="0039523F" w:rsidRDefault="007D6281" w:rsidP="007302D4">
            <w:pPr>
              <w:pStyle w:val="Agreement"/>
              <w:numPr>
                <w:ilvl w:val="0"/>
                <w:numId w:val="39"/>
              </w:numPr>
              <w:spacing w:line="240" w:lineRule="auto"/>
              <w:rPr>
                <w:b w:val="0"/>
                <w:bCs/>
              </w:rPr>
            </w:pPr>
            <w:r w:rsidRPr="0039523F">
              <w:rPr>
                <w:rFonts w:ascii="Times New Roman" w:hAnsi="Times New Roman"/>
                <w:b w:val="0"/>
                <w:bCs/>
                <w:highlight w:val="yellow"/>
              </w:rPr>
              <w:t>Come back in the next meeting (the proponents could show the possible spec impact if we decide to go in this direction)</w:t>
            </w:r>
          </w:p>
        </w:tc>
      </w:tr>
    </w:tbl>
    <w:p w14:paraId="044941DE" w14:textId="6EB44F6D" w:rsidR="007D6281" w:rsidRDefault="007302D4" w:rsidP="005E0CC3">
      <w:pPr>
        <w:spacing w:before="120" w:after="120" w:line="240" w:lineRule="auto"/>
        <w:jc w:val="both"/>
      </w:pPr>
      <w:r>
        <w:t>Besides, according to the capability running CR</w:t>
      </w:r>
      <w:r w:rsidR="00A3558A">
        <w:t xml:space="preserve"> [2]</w:t>
      </w:r>
      <w:r>
        <w:t xml:space="preserve">, </w:t>
      </w:r>
      <w:r w:rsidR="008E2FC2">
        <w:t xml:space="preserve">the S&amp;F AS UE capability is introduced. However, it is questioned whether such UE capability is needed. </w:t>
      </w:r>
    </w:p>
    <w:p w14:paraId="7E41DF09" w14:textId="412BF735" w:rsidR="00DC5670" w:rsidRDefault="00D139B4" w:rsidP="005E0CC3">
      <w:pPr>
        <w:spacing w:before="120" w:after="120" w:line="240" w:lineRule="auto"/>
        <w:jc w:val="both"/>
      </w:pPr>
      <w:r w:rsidRPr="00B2458E">
        <w:t xml:space="preserve">In the contribution, we </w:t>
      </w:r>
      <w:r w:rsidR="001453F8">
        <w:t xml:space="preserve">will </w:t>
      </w:r>
      <w:r w:rsidR="00604BAD">
        <w:t xml:space="preserve">continue to </w:t>
      </w:r>
      <w:r w:rsidR="00CA2058">
        <w:t>analyse</w:t>
      </w:r>
      <w:r w:rsidR="005473D0">
        <w:t xml:space="preserve"> </w:t>
      </w:r>
      <w:r w:rsidR="00604BAD">
        <w:t xml:space="preserve">the </w:t>
      </w:r>
      <w:r w:rsidR="008E2FC2">
        <w:t xml:space="preserve">following </w:t>
      </w:r>
      <w:r w:rsidR="00604BAD">
        <w:t>issue</w:t>
      </w:r>
      <w:r w:rsidR="008E2FC2">
        <w:t>s</w:t>
      </w:r>
      <w:r w:rsidR="00604BAD">
        <w:t xml:space="preserve"> and give our views. </w:t>
      </w:r>
    </w:p>
    <w:p w14:paraId="7710A1D3" w14:textId="56B73F2F" w:rsidR="00A3558A" w:rsidRDefault="00A3558A" w:rsidP="00A3558A">
      <w:pPr>
        <w:numPr>
          <w:ilvl w:val="0"/>
          <w:numId w:val="40"/>
        </w:numPr>
        <w:spacing w:before="120" w:after="120" w:line="240" w:lineRule="auto"/>
        <w:ind w:left="680" w:hanging="340"/>
        <w:jc w:val="both"/>
        <w:rPr>
          <w:rFonts w:eastAsia="Malgun Gothic"/>
          <w:lang w:val="en-US" w:eastAsia="zh-CN"/>
        </w:rPr>
      </w:pPr>
      <w:bookmarkStart w:id="1" w:name="_Hlk197086747"/>
      <w:r>
        <w:rPr>
          <w:rFonts w:eastAsia="Malgun Gothic"/>
          <w:lang w:val="en-US" w:eastAsia="zh-CN"/>
        </w:rPr>
        <w:t>Information for the normal mode to S&amp;F mode transition</w:t>
      </w:r>
      <w:r w:rsidRPr="00C53751">
        <w:rPr>
          <w:rFonts w:eastAsia="Malgun Gothic"/>
          <w:lang w:val="en-US" w:eastAsia="zh-CN"/>
        </w:rPr>
        <w:t>;</w:t>
      </w:r>
    </w:p>
    <w:p w14:paraId="541D0F57" w14:textId="47D4AB73" w:rsidR="00A3558A" w:rsidRDefault="00A3558A" w:rsidP="00A3558A">
      <w:pPr>
        <w:numPr>
          <w:ilvl w:val="0"/>
          <w:numId w:val="40"/>
        </w:numPr>
        <w:spacing w:before="120" w:after="120" w:line="240" w:lineRule="auto"/>
        <w:ind w:left="680" w:hanging="340"/>
        <w:jc w:val="both"/>
        <w:rPr>
          <w:rFonts w:eastAsia="Malgun Gothic"/>
          <w:lang w:val="en-US" w:eastAsia="zh-CN"/>
        </w:rPr>
      </w:pPr>
      <w:bookmarkStart w:id="2" w:name="_Hlk197083561"/>
      <w:r>
        <w:rPr>
          <w:rFonts w:eastAsia="Malgun Gothic"/>
          <w:lang w:val="en-US" w:eastAsia="zh-CN"/>
        </w:rPr>
        <w:t>Usage of the S&amp;F monitoring list</w:t>
      </w:r>
      <w:bookmarkEnd w:id="2"/>
      <w:r w:rsidRPr="00C53751">
        <w:rPr>
          <w:rFonts w:eastAsia="Malgun Gothic"/>
          <w:lang w:val="en-US" w:eastAsia="zh-CN"/>
        </w:rPr>
        <w:t>;</w:t>
      </w:r>
    </w:p>
    <w:p w14:paraId="4EB787E4" w14:textId="5A82C700" w:rsidR="008E2FC2" w:rsidRPr="00A3558A" w:rsidRDefault="00A3558A" w:rsidP="00A3558A">
      <w:pPr>
        <w:pStyle w:val="afb"/>
        <w:numPr>
          <w:ilvl w:val="0"/>
          <w:numId w:val="40"/>
        </w:numPr>
        <w:spacing w:before="120" w:after="120" w:line="240" w:lineRule="auto"/>
        <w:ind w:left="680" w:hanging="340"/>
        <w:jc w:val="both"/>
      </w:pPr>
      <w:bookmarkStart w:id="3" w:name="_Hlk197083655"/>
      <w:r>
        <w:rPr>
          <w:rFonts w:ascii="Times New Roman" w:hAnsi="Times New Roman" w:cs="Times New Roman"/>
        </w:rPr>
        <w:t>S&amp;F capability</w:t>
      </w:r>
      <w:bookmarkEnd w:id="3"/>
      <w:r w:rsidRPr="00A3558A">
        <w:t>.</w:t>
      </w:r>
    </w:p>
    <w:bookmarkEnd w:id="1"/>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3E2056BB" w14:textId="4A1864B7"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2.1 </w:t>
      </w:r>
      <w:r w:rsidRPr="00A3558A">
        <w:rPr>
          <w:rFonts w:ascii="Arial" w:eastAsia="宋体" w:hAnsi="Arial"/>
          <w:sz w:val="24"/>
          <w:szCs w:val="32"/>
          <w:lang w:eastAsia="zh-CN"/>
        </w:rPr>
        <w:t>Information for the normal mode to S&amp;F mode transition</w:t>
      </w:r>
    </w:p>
    <w:p w14:paraId="4F67100A" w14:textId="79076F6F" w:rsidR="00FE0F75" w:rsidRDefault="00FE0F75" w:rsidP="00F74E1B">
      <w:pPr>
        <w:spacing w:after="120" w:line="240" w:lineRule="auto"/>
        <w:jc w:val="both"/>
      </w:pPr>
      <w:r>
        <w:t>In RAN2#129bis, RAN2 agreed to introduce indication information for the normal mode to S&amp;F mode transition. However, it is FFS what the details of such information, i.e., whether to reuse the existing t-service or introduce new time information. From our perspective, the decision mainly depends on how UE behaves based on the time information from the normal mode to the S&amp;F mode.</w:t>
      </w:r>
    </w:p>
    <w:p w14:paraId="789EB401" w14:textId="400AA37B" w:rsidR="00FE0F75" w:rsidRDefault="00FE0F75" w:rsidP="00F74E1B">
      <w:pPr>
        <w:spacing w:after="120" w:line="240" w:lineRule="auto"/>
        <w:jc w:val="both"/>
      </w:pPr>
      <w:r>
        <w:lastRenderedPageBreak/>
        <w:t xml:space="preserve">For legacy UE, since UE does not support the S&amp;F operation mode, it is straightforward for UE to trigger the cell reselection before or upon the time for the normal mode to S&amp;F mode transition. While for S&amp;F </w:t>
      </w:r>
      <w:r w:rsidR="00DB42BD">
        <w:t xml:space="preserve">capable </w:t>
      </w:r>
      <w:r>
        <w:t>UE, there are two options:</w:t>
      </w:r>
    </w:p>
    <w:p w14:paraId="7CBCB976" w14:textId="45CE5BDB" w:rsidR="00FE0F75" w:rsidRDefault="00FE0F75" w:rsidP="00FE0F75">
      <w:pPr>
        <w:pStyle w:val="afb"/>
        <w:numPr>
          <w:ilvl w:val="0"/>
          <w:numId w:val="40"/>
        </w:numPr>
        <w:spacing w:after="120" w:line="240" w:lineRule="auto"/>
        <w:jc w:val="both"/>
        <w:rPr>
          <w:rFonts w:ascii="Times New Roman" w:hAnsi="Times New Roman" w:cs="Times New Roman"/>
        </w:rPr>
      </w:pPr>
      <w:r>
        <w:rPr>
          <w:rFonts w:ascii="Times New Roman" w:hAnsi="Times New Roman" w:cs="Times New Roman"/>
        </w:rPr>
        <w:t xml:space="preserve">Option 1: </w:t>
      </w:r>
      <w:r w:rsidRPr="00FE0F75">
        <w:rPr>
          <w:rFonts w:ascii="Times New Roman" w:hAnsi="Times New Roman" w:cs="Times New Roman"/>
        </w:rPr>
        <w:t xml:space="preserve">S&amp;F UE </w:t>
      </w:r>
      <w:r>
        <w:rPr>
          <w:rFonts w:ascii="Times New Roman" w:hAnsi="Times New Roman" w:cs="Times New Roman"/>
        </w:rPr>
        <w:t>still camps on the cell even if the cell changes from normal mode to S&amp;F mode</w:t>
      </w:r>
      <w:r w:rsidR="00DB42BD">
        <w:rPr>
          <w:rFonts w:ascii="Times New Roman" w:hAnsi="Times New Roman" w:cs="Times New Roman"/>
        </w:rPr>
        <w:t>,</w:t>
      </w:r>
      <w:r>
        <w:rPr>
          <w:rFonts w:ascii="Times New Roman" w:hAnsi="Times New Roman" w:cs="Times New Roman"/>
        </w:rPr>
        <w:t xml:space="preserve"> considering the S&amp;F UE can work in the cell operating in S&amp;F mode;</w:t>
      </w:r>
    </w:p>
    <w:p w14:paraId="0ECED602" w14:textId="186DE201" w:rsidR="00FE0F75" w:rsidRPr="00FE0F75" w:rsidRDefault="00FE0F75" w:rsidP="00FE0F75">
      <w:pPr>
        <w:pStyle w:val="afb"/>
        <w:numPr>
          <w:ilvl w:val="0"/>
          <w:numId w:val="40"/>
        </w:numPr>
        <w:spacing w:after="120" w:line="240" w:lineRule="auto"/>
        <w:jc w:val="both"/>
        <w:rPr>
          <w:rFonts w:ascii="Times New Roman" w:hAnsi="Times New Roman" w:cs="Times New Roman"/>
        </w:rPr>
      </w:pPr>
      <w:r>
        <w:rPr>
          <w:rFonts w:ascii="Times New Roman" w:hAnsi="Times New Roman" w:cs="Times New Roman"/>
        </w:rPr>
        <w:t xml:space="preserve">Option 2: S&amp;F UE behaves like the legacy UE to trigger the cell </w:t>
      </w:r>
      <w:r w:rsidR="00DB42BD">
        <w:rPr>
          <w:rFonts w:ascii="Times New Roman" w:hAnsi="Times New Roman" w:cs="Times New Roman"/>
        </w:rPr>
        <w:t>reselection</w:t>
      </w:r>
      <w:r>
        <w:rPr>
          <w:rFonts w:ascii="Times New Roman" w:hAnsi="Times New Roman" w:cs="Times New Roman"/>
        </w:rPr>
        <w:t xml:space="preserve"> </w:t>
      </w:r>
      <w:r w:rsidR="000B5D63">
        <w:rPr>
          <w:rFonts w:ascii="Times New Roman" w:hAnsi="Times New Roman" w:cs="Times New Roman"/>
        </w:rPr>
        <w:t xml:space="preserve">measurement </w:t>
      </w:r>
      <w:r>
        <w:rPr>
          <w:rFonts w:ascii="Times New Roman" w:hAnsi="Times New Roman" w:cs="Times New Roman"/>
        </w:rPr>
        <w:t>before or upon the time for the normal mode to S&amp;F mode transition to have better performance.</w:t>
      </w:r>
    </w:p>
    <w:p w14:paraId="35CC0954" w14:textId="3FC7B161" w:rsidR="00FE0F75" w:rsidRDefault="00DB42BD" w:rsidP="00FE0F75">
      <w:pPr>
        <w:spacing w:after="120" w:line="240" w:lineRule="auto"/>
        <w:jc w:val="both"/>
        <w:rPr>
          <w:lang w:val="en-US"/>
        </w:rPr>
      </w:pPr>
      <w:r>
        <w:rPr>
          <w:lang w:val="en-US"/>
        </w:rPr>
        <w:t xml:space="preserve">If option 1 is taken, new time information may be needed for S&amp;F UE. Otherwise, according to the spec [3], all UE(s) shall perform cell reselction measurement before the t-service. </w:t>
      </w:r>
    </w:p>
    <w:tbl>
      <w:tblPr>
        <w:tblStyle w:val="af3"/>
        <w:tblW w:w="0" w:type="auto"/>
        <w:tblLook w:val="04A0" w:firstRow="1" w:lastRow="0" w:firstColumn="1" w:lastColumn="0" w:noHBand="0" w:noVBand="1"/>
      </w:tblPr>
      <w:tblGrid>
        <w:gridCol w:w="9629"/>
      </w:tblGrid>
      <w:tr w:rsidR="00DB42BD" w14:paraId="19C74F47" w14:textId="77777777" w:rsidTr="00DB42BD">
        <w:tc>
          <w:tcPr>
            <w:tcW w:w="9629" w:type="dxa"/>
          </w:tcPr>
          <w:p w14:paraId="34040883" w14:textId="29F5A4FD" w:rsidR="00DB42BD" w:rsidRPr="00DB42BD" w:rsidRDefault="00DB42BD" w:rsidP="00DB42BD">
            <w:pPr>
              <w:overflowPunct w:val="0"/>
              <w:autoSpaceDE w:val="0"/>
              <w:autoSpaceDN w:val="0"/>
              <w:adjustRightInd w:val="0"/>
              <w:spacing w:line="240" w:lineRule="auto"/>
              <w:textAlignment w:val="baseline"/>
              <w:rPr>
                <w:rFonts w:eastAsia="宋体"/>
                <w:lang w:eastAsia="ja-JP"/>
              </w:rPr>
            </w:pPr>
            <w:r w:rsidRPr="00DB42BD">
              <w:rPr>
                <w:rFonts w:eastAsia="宋体"/>
                <w:highlight w:val="yellow"/>
                <w:lang w:eastAsia="ja-JP"/>
              </w:rPr>
              <w:t xml:space="preserve">If the </w:t>
            </w:r>
            <w:r w:rsidRPr="00DB42BD">
              <w:rPr>
                <w:rFonts w:eastAsia="宋体"/>
                <w:i/>
                <w:highlight w:val="yellow"/>
                <w:lang w:eastAsia="ja-JP"/>
              </w:rPr>
              <w:t>t-Service</w:t>
            </w:r>
            <w:r w:rsidRPr="00DB42BD">
              <w:rPr>
                <w:rFonts w:eastAsia="宋体"/>
                <w:highlight w:val="yellow"/>
                <w:lang w:eastAsia="ja-JP"/>
              </w:rPr>
              <w:t xml:space="preserve"> of the serving cell is present in </w:t>
            </w:r>
            <w:r w:rsidRPr="00DB42BD">
              <w:rPr>
                <w:rFonts w:eastAsia="宋体"/>
                <w:i/>
                <w:iCs/>
                <w:highlight w:val="yellow"/>
                <w:lang w:eastAsia="ja-JP"/>
              </w:rPr>
              <w:t>SIB19</w:t>
            </w:r>
            <w:r w:rsidRPr="00DB42BD">
              <w:rPr>
                <w:rFonts w:eastAsia="宋体"/>
                <w:highlight w:val="yellow"/>
                <w:lang w:eastAsia="ja-JP"/>
              </w:rPr>
              <w:t>, and if UE supports time-based measurement initiation,</w:t>
            </w:r>
            <w:r w:rsidRPr="00DB42BD">
              <w:rPr>
                <w:rFonts w:eastAsia="宋体"/>
                <w:lang w:eastAsia="ja-JP"/>
              </w:rPr>
              <w:t xml:space="preserve"> </w:t>
            </w:r>
            <w:r w:rsidRPr="00DB42BD">
              <w:rPr>
                <w:rFonts w:eastAsia="宋体"/>
                <w:highlight w:val="yellow"/>
                <w:lang w:eastAsia="ja-JP"/>
              </w:rPr>
              <w:t xml:space="preserve">the UE shall perform intra-frequency, inter-frequency or inter-RAT measurements before the </w:t>
            </w:r>
            <w:r w:rsidRPr="00DB42BD">
              <w:rPr>
                <w:rFonts w:eastAsia="宋体"/>
                <w:i/>
                <w:iCs/>
                <w:highlight w:val="yellow"/>
                <w:lang w:eastAsia="ja-JP"/>
              </w:rPr>
              <w:t>t-Service</w:t>
            </w:r>
            <w:r w:rsidRPr="00DB42BD">
              <w:rPr>
                <w:rFonts w:eastAsia="宋体"/>
                <w:lang w:eastAsia="ja-JP"/>
              </w:rPr>
              <w:t>, regardless of the distance between UE and the serving cell reference location or whether the serving cell fulfils Srxlev &gt; S</w:t>
            </w:r>
            <w:r w:rsidRPr="00DB42BD">
              <w:rPr>
                <w:rFonts w:eastAsia="宋体"/>
                <w:vertAlign w:val="subscript"/>
                <w:lang w:eastAsia="ja-JP"/>
              </w:rPr>
              <w:t>IntraSearchP</w:t>
            </w:r>
            <w:r w:rsidRPr="00DB42BD">
              <w:rPr>
                <w:rFonts w:eastAsia="宋体"/>
                <w:lang w:eastAsia="ja-JP"/>
              </w:rPr>
              <w:t xml:space="preserve"> and Squal &gt; S</w:t>
            </w:r>
            <w:r w:rsidRPr="00DB42BD">
              <w:rPr>
                <w:rFonts w:eastAsia="宋体"/>
                <w:vertAlign w:val="subscript"/>
                <w:lang w:eastAsia="ja-JP"/>
              </w:rPr>
              <w:t>IntraSearchQ</w:t>
            </w:r>
            <w:r w:rsidRPr="00DB42BD">
              <w:rPr>
                <w:rFonts w:eastAsia="宋体"/>
                <w:lang w:eastAsia="ja-JP"/>
              </w:rPr>
              <w:t>, or Srxlev &gt; S</w:t>
            </w:r>
            <w:r w:rsidRPr="00DB42BD">
              <w:rPr>
                <w:rFonts w:eastAsia="宋体"/>
                <w:vertAlign w:val="subscript"/>
                <w:lang w:eastAsia="ja-JP"/>
              </w:rPr>
              <w:t>nonIntraSearchP</w:t>
            </w:r>
            <w:r w:rsidRPr="00DB42BD">
              <w:rPr>
                <w:rFonts w:eastAsia="宋体"/>
                <w:lang w:eastAsia="ja-JP"/>
              </w:rPr>
              <w:t xml:space="preserve"> and Squal &gt; S</w:t>
            </w:r>
            <w:r w:rsidRPr="00DB42BD">
              <w:rPr>
                <w:rFonts w:eastAsia="宋体"/>
                <w:vertAlign w:val="subscript"/>
                <w:lang w:eastAsia="ja-JP"/>
              </w:rPr>
              <w:t>nonIntraSearchQ</w:t>
            </w:r>
            <w:r w:rsidRPr="00DB42BD">
              <w:rPr>
                <w:rFonts w:eastAsia="宋体"/>
                <w:lang w:eastAsia="ja-JP"/>
              </w:rPr>
              <w:t xml:space="preserve">, The exact time to start measurement before </w:t>
            </w:r>
            <w:r w:rsidRPr="00DB42BD">
              <w:rPr>
                <w:rFonts w:eastAsia="宋体"/>
                <w:i/>
                <w:lang w:eastAsia="ja-JP"/>
              </w:rPr>
              <w:t>t-Service</w:t>
            </w:r>
            <w:r w:rsidRPr="00DB42BD">
              <w:rPr>
                <w:rFonts w:eastAsia="宋体"/>
                <w:lang w:eastAsia="ja-JP"/>
              </w:rPr>
              <w:t xml:space="preserve"> is up to UE implementation. UE shall perform measurements of higher priority NR inter-frequency or inter-RAT frequencies according to TS 38.133 [8] regardless of the remaining service time of the serving cell (i.e. time remaining until </w:t>
            </w:r>
            <w:r w:rsidRPr="00DB42BD">
              <w:rPr>
                <w:rFonts w:eastAsia="宋体"/>
                <w:i/>
                <w:iCs/>
                <w:lang w:eastAsia="ja-JP"/>
              </w:rPr>
              <w:t>t-Service</w:t>
            </w:r>
            <w:r w:rsidRPr="00DB42BD">
              <w:rPr>
                <w:rFonts w:eastAsia="宋体"/>
                <w:lang w:eastAsia="ja-JP"/>
              </w:rPr>
              <w:t>).</w:t>
            </w:r>
          </w:p>
        </w:tc>
      </w:tr>
    </w:tbl>
    <w:p w14:paraId="117FB72B" w14:textId="6495C9F4" w:rsidR="00FE0F75" w:rsidRPr="00FE0F75" w:rsidRDefault="00DB42BD" w:rsidP="007078A0">
      <w:pPr>
        <w:spacing w:before="120" w:after="120" w:line="240" w:lineRule="auto"/>
        <w:jc w:val="both"/>
      </w:pPr>
      <w:r w:rsidRPr="00DB42BD">
        <w:t xml:space="preserve">If </w:t>
      </w:r>
      <w:r>
        <w:t xml:space="preserve">option 2 is taken, NW can set the t-service to the time for the normal mode to S&amp;F mode transition, and then all UE, regardless of whether UE support the S&amp;F or not shall trigger the cell reselection measurement before the t-service, i.e., the time for the normal mode to S&amp;F mode transition. </w:t>
      </w:r>
      <w:r w:rsidR="007078A0">
        <w:t>Moreover, i</w:t>
      </w:r>
      <w:r w:rsidR="00FE0F75" w:rsidRPr="00FE0F75">
        <w:t>n case the cell changes from normal mode to S&amp;F mode, the feeder link is not available, and this is consistent with the meaning of the t-service</w:t>
      </w:r>
      <w:r w:rsidR="00825AE4">
        <w:t xml:space="preserve"> [4]</w:t>
      </w:r>
      <w:r w:rsidR="00FE0F75" w:rsidRPr="00FE0F75">
        <w:t>.</w:t>
      </w:r>
      <w:r w:rsidR="007078A0">
        <w:t xml:space="preserve"> </w:t>
      </w:r>
    </w:p>
    <w:tbl>
      <w:tblPr>
        <w:tblStyle w:val="af3"/>
        <w:tblW w:w="0" w:type="auto"/>
        <w:tblLook w:val="04A0" w:firstRow="1" w:lastRow="0" w:firstColumn="1" w:lastColumn="0" w:noHBand="0" w:noVBand="1"/>
      </w:tblPr>
      <w:tblGrid>
        <w:gridCol w:w="9629"/>
      </w:tblGrid>
      <w:tr w:rsidR="007078A0" w14:paraId="579831A5" w14:textId="77777777" w:rsidTr="007078A0">
        <w:tc>
          <w:tcPr>
            <w:tcW w:w="9629" w:type="dxa"/>
          </w:tcPr>
          <w:p w14:paraId="171C1F74" w14:textId="77777777" w:rsidR="007078A0" w:rsidRPr="007078A0" w:rsidRDefault="007078A0" w:rsidP="007078A0">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7078A0">
              <w:rPr>
                <w:rFonts w:ascii="Arial" w:eastAsia="Times New Roman" w:hAnsi="Arial"/>
                <w:b/>
                <w:bCs/>
                <w:i/>
                <w:sz w:val="18"/>
                <w:lang w:eastAsia="en-GB"/>
              </w:rPr>
              <w:t>t-Service</w:t>
            </w:r>
          </w:p>
          <w:p w14:paraId="3BCA3676" w14:textId="2CEF65F5" w:rsidR="007078A0" w:rsidRDefault="007078A0" w:rsidP="007078A0">
            <w:pPr>
              <w:spacing w:after="120" w:line="240" w:lineRule="auto"/>
              <w:jc w:val="both"/>
            </w:pPr>
            <w:r w:rsidRPr="007078A0">
              <w:rPr>
                <w:rFonts w:eastAsia="Times New Roman"/>
                <w:iCs/>
                <w:lang w:eastAsia="en-GB"/>
              </w:rPr>
              <w:t>Indicates the time</w:t>
            </w:r>
            <w:r w:rsidRPr="007078A0">
              <w:rPr>
                <w:rFonts w:eastAsia="Times New Roman"/>
                <w:lang w:eastAsia="zh-CN"/>
              </w:rPr>
              <w:t xml:space="preserve"> information on when a cell provided via NTN is going to stop serving the area it is currently covering. </w:t>
            </w:r>
            <w:r w:rsidRPr="007078A0">
              <w:rPr>
                <w:rFonts w:eastAsia="Times New Roman"/>
                <w:highlight w:val="yellow"/>
                <w:lang w:eastAsia="zh-CN"/>
              </w:rPr>
              <w:t>This field applies for both service link switches in NTN quasi-Earth fixed cell and feeder link switches for both NTN quasi-Earth fixed and Earth-moving cell.</w:t>
            </w:r>
            <w:r w:rsidRPr="007078A0">
              <w:rPr>
                <w:rFonts w:eastAsia="Times New Roman"/>
                <w:lang w:eastAsia="zh-CN"/>
              </w:rPr>
              <w:t xml:space="preserve"> </w:t>
            </w:r>
            <w:r w:rsidRPr="007078A0">
              <w:rPr>
                <w:rFonts w:eastAsia="Times New Roman"/>
                <w:szCs w:val="22"/>
              </w:rPr>
              <w:t xml:space="preserve">The field indicates a time in multiples of 10 ms after 00:00:00 on Gregorian calendar date 1 January, 1900 (midnight between Sunday, December 31, 1899 and Monday, January 1, 1900). </w:t>
            </w:r>
            <w:r w:rsidRPr="007078A0">
              <w:rPr>
                <w:rFonts w:eastAsia="Times New Roman"/>
                <w:lang w:eastAsia="zh-CN"/>
              </w:rPr>
              <w:t>The exact stop time is between the time indicated by the value of this field minus 1 and the time indicated by the value of this field.</w:t>
            </w:r>
            <w:r w:rsidRPr="007078A0">
              <w:rPr>
                <w:rFonts w:eastAsia="Times New Roman" w:cs="Arial"/>
                <w:lang w:eastAsia="zh-CN"/>
              </w:rPr>
              <w:t xml:space="preserve"> The reference point for </w:t>
            </w:r>
            <w:r w:rsidRPr="007078A0">
              <w:rPr>
                <w:rFonts w:eastAsia="Times New Roman" w:cs="Arial"/>
                <w:i/>
                <w:iCs/>
                <w:lang w:eastAsia="zh-CN"/>
              </w:rPr>
              <w:t>t-Service</w:t>
            </w:r>
            <w:r w:rsidRPr="007078A0">
              <w:rPr>
                <w:rFonts w:eastAsia="Times New Roman" w:cs="Arial"/>
                <w:lang w:eastAsia="zh-CN"/>
              </w:rPr>
              <w:t xml:space="preserve"> is the uplink time synchronization reference point of the cell.</w:t>
            </w:r>
            <w:r w:rsidRPr="007078A0">
              <w:rPr>
                <w:rFonts w:eastAsia="Times New Roman"/>
                <w:lang w:eastAsia="zh-CN"/>
              </w:rPr>
              <w:t xml:space="preserve"> This field is only present in an NTN cell.</w:t>
            </w:r>
          </w:p>
        </w:tc>
      </w:tr>
    </w:tbl>
    <w:p w14:paraId="059057E3" w14:textId="1A0E1693" w:rsidR="007078A0" w:rsidRPr="007A0440" w:rsidRDefault="007078A0" w:rsidP="00F1394F">
      <w:pPr>
        <w:spacing w:before="120" w:after="120" w:line="240" w:lineRule="auto"/>
        <w:jc w:val="both"/>
        <w:rPr>
          <w:b/>
          <w:bCs/>
        </w:rPr>
      </w:pPr>
      <w:bookmarkStart w:id="4" w:name="_Hlk197609223"/>
      <w:bookmarkStart w:id="5" w:name="_Hlk197086670"/>
      <w:r w:rsidRPr="007A0440">
        <w:rPr>
          <w:b/>
          <w:bCs/>
        </w:rPr>
        <w:t xml:space="preserve">Proposal 1: </w:t>
      </w:r>
      <w:r w:rsidR="00D035B0">
        <w:rPr>
          <w:b/>
          <w:bCs/>
        </w:rPr>
        <w:t xml:space="preserve">RAN2 to firstly discuss whether the S&amp;F </w:t>
      </w:r>
      <w:r w:rsidR="00FA1D49">
        <w:rPr>
          <w:b/>
          <w:bCs/>
        </w:rPr>
        <w:t xml:space="preserve">capable </w:t>
      </w:r>
      <w:r w:rsidR="00D035B0">
        <w:rPr>
          <w:b/>
          <w:bCs/>
        </w:rPr>
        <w:t xml:space="preserve">UE </w:t>
      </w:r>
      <w:r w:rsidR="00FA1D49">
        <w:rPr>
          <w:b/>
          <w:bCs/>
        </w:rPr>
        <w:t xml:space="preserve">is required to </w:t>
      </w:r>
      <w:r w:rsidR="00D035B0">
        <w:rPr>
          <w:b/>
          <w:bCs/>
        </w:rPr>
        <w:t>perform the</w:t>
      </w:r>
      <w:r w:rsidR="00CD4380">
        <w:rPr>
          <w:b/>
          <w:bCs/>
        </w:rPr>
        <w:t xml:space="preserve"> cell </w:t>
      </w:r>
      <w:r w:rsidR="00FA1D49" w:rsidRPr="000B5D63">
        <w:rPr>
          <w:b/>
          <w:bCs/>
        </w:rPr>
        <w:t>re</w:t>
      </w:r>
      <w:r w:rsidR="00CD4380">
        <w:rPr>
          <w:b/>
          <w:bCs/>
        </w:rPr>
        <w:t>selection</w:t>
      </w:r>
      <w:r w:rsidR="000366B2">
        <w:rPr>
          <w:b/>
          <w:bCs/>
        </w:rPr>
        <w:t xml:space="preserve"> </w:t>
      </w:r>
      <w:r w:rsidR="00FA1D49" w:rsidRPr="000B5D63">
        <w:rPr>
          <w:rFonts w:hint="eastAsia"/>
          <w:b/>
          <w:bCs/>
        </w:rPr>
        <w:t>measurement</w:t>
      </w:r>
      <w:r w:rsidR="00FA1D49">
        <w:rPr>
          <w:b/>
          <w:bCs/>
        </w:rPr>
        <w:t xml:space="preserve"> </w:t>
      </w:r>
      <w:r w:rsidR="00CD4380">
        <w:rPr>
          <w:b/>
          <w:bCs/>
        </w:rPr>
        <w:t xml:space="preserve">before or </w:t>
      </w:r>
      <w:r>
        <w:rPr>
          <w:b/>
          <w:bCs/>
        </w:rPr>
        <w:t xml:space="preserve">upon the normal mode to S&amp;F mode transition.  </w:t>
      </w:r>
    </w:p>
    <w:p w14:paraId="1E2D9EFE" w14:textId="7BABEFAF" w:rsidR="00386B7D" w:rsidRPr="007A0440" w:rsidRDefault="007078A0" w:rsidP="00EF5794">
      <w:pPr>
        <w:spacing w:before="120" w:after="240" w:line="240" w:lineRule="auto"/>
        <w:jc w:val="both"/>
        <w:rPr>
          <w:b/>
          <w:bCs/>
        </w:rPr>
      </w:pPr>
      <w:r w:rsidRPr="007A0440">
        <w:rPr>
          <w:b/>
          <w:bCs/>
        </w:rPr>
        <w:t xml:space="preserve">Proposal </w:t>
      </w:r>
      <w:r>
        <w:rPr>
          <w:b/>
          <w:bCs/>
        </w:rPr>
        <w:t>2</w:t>
      </w:r>
      <w:r w:rsidRPr="007A0440">
        <w:rPr>
          <w:b/>
          <w:bCs/>
        </w:rPr>
        <w:t xml:space="preserve">: </w:t>
      </w:r>
      <w:r>
        <w:rPr>
          <w:b/>
          <w:bCs/>
        </w:rPr>
        <w:t xml:space="preserve">If </w:t>
      </w:r>
      <w:r w:rsidRPr="007078A0">
        <w:rPr>
          <w:b/>
          <w:bCs/>
        </w:rPr>
        <w:t xml:space="preserve">S&amp;F </w:t>
      </w:r>
      <w:r w:rsidR="00FA1D49">
        <w:rPr>
          <w:b/>
          <w:bCs/>
        </w:rPr>
        <w:t xml:space="preserve">capable </w:t>
      </w:r>
      <w:r w:rsidRPr="007078A0">
        <w:rPr>
          <w:b/>
          <w:bCs/>
        </w:rPr>
        <w:t xml:space="preserve">UE </w:t>
      </w:r>
      <w:r w:rsidR="00FA1D49">
        <w:rPr>
          <w:b/>
          <w:bCs/>
        </w:rPr>
        <w:t>is required to perform</w:t>
      </w:r>
      <w:r w:rsidRPr="007078A0">
        <w:rPr>
          <w:b/>
          <w:bCs/>
        </w:rPr>
        <w:t xml:space="preserve"> the cell reselection </w:t>
      </w:r>
      <w:r w:rsidR="00FA1D49" w:rsidRPr="000B5D63">
        <w:rPr>
          <w:rFonts w:hint="eastAsia"/>
          <w:b/>
          <w:bCs/>
        </w:rPr>
        <w:t>measurement</w:t>
      </w:r>
      <w:r w:rsidR="00FA1D49">
        <w:rPr>
          <w:b/>
          <w:bCs/>
        </w:rPr>
        <w:t xml:space="preserve"> </w:t>
      </w:r>
      <w:r w:rsidRPr="007078A0">
        <w:rPr>
          <w:b/>
          <w:bCs/>
        </w:rPr>
        <w:t>before or upon the normal mode to S&amp;F mode transition</w:t>
      </w:r>
      <w:r>
        <w:rPr>
          <w:b/>
          <w:bCs/>
        </w:rPr>
        <w:t xml:space="preserve">, </w:t>
      </w:r>
      <w:r w:rsidR="00FA1D49">
        <w:rPr>
          <w:b/>
          <w:bCs/>
        </w:rPr>
        <w:t xml:space="preserve">legacy </w:t>
      </w:r>
      <w:r>
        <w:rPr>
          <w:b/>
          <w:bCs/>
        </w:rPr>
        <w:t xml:space="preserve">T-service </w:t>
      </w:r>
      <w:r w:rsidR="00FA1D49">
        <w:rPr>
          <w:b/>
          <w:bCs/>
        </w:rPr>
        <w:t xml:space="preserve">is </w:t>
      </w:r>
      <w:r>
        <w:rPr>
          <w:b/>
          <w:bCs/>
        </w:rPr>
        <w:t>reused</w:t>
      </w:r>
      <w:r w:rsidR="00CD4380">
        <w:rPr>
          <w:b/>
          <w:bCs/>
        </w:rPr>
        <w:t xml:space="preserve">. Otherwise, the new time information is </w:t>
      </w:r>
      <w:r w:rsidR="00FA1D49">
        <w:rPr>
          <w:b/>
          <w:bCs/>
        </w:rPr>
        <w:t>introduced</w:t>
      </w:r>
      <w:r>
        <w:rPr>
          <w:b/>
          <w:bCs/>
        </w:rPr>
        <w:t xml:space="preserve">. </w:t>
      </w:r>
      <w:bookmarkEnd w:id="4"/>
    </w:p>
    <w:bookmarkEnd w:id="5"/>
    <w:p w14:paraId="56107835" w14:textId="28BA2E45"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2.2 </w:t>
      </w:r>
      <w:r w:rsidRPr="00A3558A">
        <w:rPr>
          <w:rFonts w:ascii="Arial" w:eastAsia="宋体" w:hAnsi="Arial"/>
          <w:sz w:val="24"/>
          <w:szCs w:val="32"/>
          <w:lang w:eastAsia="zh-CN"/>
        </w:rPr>
        <w:t>Usage of the S&amp;F monitoring list</w:t>
      </w:r>
    </w:p>
    <w:p w14:paraId="695F0087" w14:textId="4014EA02" w:rsidR="007B4269" w:rsidRPr="007B4269" w:rsidRDefault="007B4269" w:rsidP="007B4269">
      <w:pPr>
        <w:spacing w:after="120" w:line="240" w:lineRule="auto"/>
        <w:jc w:val="both"/>
      </w:pPr>
      <w:r w:rsidRPr="007B4269">
        <w:t xml:space="preserve">According to the </w:t>
      </w:r>
      <w:r w:rsidR="00825AE4">
        <w:t xml:space="preserve">SA2 CR </w:t>
      </w:r>
      <w:r w:rsidRPr="007B4269">
        <w:t>[</w:t>
      </w:r>
      <w:r w:rsidR="00825AE4">
        <w:t>5</w:t>
      </w:r>
      <w:r w:rsidRPr="007B4269">
        <w:t>], MME can provide a list of satellite IDs to UE via the NAS message. The satellite IDs are used for UE to decide which cell/satellite can re-attempt to perform the subsequent attach/TAU procedure after the wait time expires. From this perspective, it is clear that the satellite ID provided by NAS is globally unique</w:t>
      </w:r>
      <w:r w:rsidR="00825AE4">
        <w:t xml:space="preserve"> at least within the PLMN</w:t>
      </w:r>
      <w:r w:rsidRPr="007B4269">
        <w:t xml:space="preserve">. </w:t>
      </w:r>
    </w:p>
    <w:tbl>
      <w:tblPr>
        <w:tblStyle w:val="14"/>
        <w:tblW w:w="0" w:type="auto"/>
        <w:tblLook w:val="04A0" w:firstRow="1" w:lastRow="0" w:firstColumn="1" w:lastColumn="0" w:noHBand="0" w:noVBand="1"/>
      </w:tblPr>
      <w:tblGrid>
        <w:gridCol w:w="9629"/>
      </w:tblGrid>
      <w:tr w:rsidR="007B4269" w:rsidRPr="007B4269" w14:paraId="0C06A722" w14:textId="77777777" w:rsidTr="0097035A">
        <w:tc>
          <w:tcPr>
            <w:tcW w:w="9629" w:type="dxa"/>
            <w:tcBorders>
              <w:top w:val="single" w:sz="4" w:space="0" w:color="auto"/>
              <w:left w:val="single" w:sz="4" w:space="0" w:color="auto"/>
              <w:bottom w:val="single" w:sz="4" w:space="0" w:color="auto"/>
              <w:right w:val="single" w:sz="4" w:space="0" w:color="auto"/>
            </w:tcBorders>
            <w:hideMark/>
          </w:tcPr>
          <w:p w14:paraId="1D5C34EF" w14:textId="40A4F1FD" w:rsidR="00825AE4" w:rsidRPr="00825AE4" w:rsidRDefault="00825AE4" w:rsidP="00825AE4">
            <w:pPr>
              <w:rPr>
                <w:rFonts w:eastAsia="宋体"/>
              </w:rPr>
            </w:pPr>
            <w:r w:rsidRPr="00825AE4">
              <w:rPr>
                <w:rFonts w:eastAsia="宋体"/>
              </w:rPr>
              <w:t>For a UE which indicates support of Store and Forward Satellite operation and when an MME is operating in S&amp;F Mode:</w:t>
            </w:r>
          </w:p>
          <w:p w14:paraId="7567891E" w14:textId="71FA4EBC" w:rsidR="00825AE4" w:rsidRPr="00825AE4" w:rsidRDefault="00825AE4" w:rsidP="00825AE4">
            <w:pPr>
              <w:spacing w:line="240" w:lineRule="auto"/>
              <w:ind w:left="568" w:hanging="284"/>
              <w:rPr>
                <w:rFonts w:eastAsia="宋体"/>
              </w:rPr>
            </w:pPr>
            <w:r w:rsidRPr="00825AE4">
              <w:rPr>
                <w:rFonts w:eastAsia="宋体"/>
              </w:rPr>
              <w:t>-</w:t>
            </w:r>
            <w:r w:rsidRPr="00825AE4">
              <w:rPr>
                <w:rFonts w:eastAsia="宋体"/>
              </w:rPr>
              <w:tab/>
            </w:r>
            <w:bookmarkStart w:id="6" w:name="_Hlk188356300"/>
            <w:r w:rsidRPr="00825AE4">
              <w:rPr>
                <w:rFonts w:eastAsia="宋体"/>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bookmarkEnd w:id="6"/>
          </w:p>
          <w:p w14:paraId="20042B01" w14:textId="77777777" w:rsidR="00825AE4" w:rsidRPr="00825AE4" w:rsidRDefault="00825AE4" w:rsidP="00825AE4">
            <w:pPr>
              <w:spacing w:line="240" w:lineRule="auto"/>
              <w:ind w:left="568" w:hanging="284"/>
              <w:rPr>
                <w:rFonts w:eastAsia="宋体"/>
                <w:lang w:eastAsia="en-GB"/>
              </w:rPr>
            </w:pPr>
            <w:r w:rsidRPr="00825AE4">
              <w:rPr>
                <w:rFonts w:eastAsia="宋体"/>
                <w:lang w:eastAsia="en-GB"/>
              </w:rPr>
              <w:t>-</w:t>
            </w:r>
            <w:r w:rsidRPr="00825AE4">
              <w:rPr>
                <w:rFonts w:eastAsia="宋体"/>
                <w:lang w:eastAsia="en-GB"/>
              </w:rPr>
              <w:tab/>
              <w:t>If the UE is rejected with a reject cause</w:t>
            </w:r>
            <w:r w:rsidRPr="00825AE4">
              <w:rPr>
                <w:rFonts w:eastAsia="宋体"/>
              </w:rPr>
              <w:t xml:space="preserve"> indicating it is due to S&amp;F operation</w:t>
            </w:r>
            <w:r w:rsidRPr="00825AE4">
              <w:rPr>
                <w:rFonts w:eastAsia="宋体"/>
                <w:lang w:eastAsia="en-GB"/>
              </w:rPr>
              <w:t>, the UE’s EMM state shall remain unchanged.</w:t>
            </w:r>
          </w:p>
          <w:p w14:paraId="5AF27671" w14:textId="5B228D4E" w:rsidR="00825AE4" w:rsidRPr="00825AE4" w:rsidRDefault="00825AE4" w:rsidP="00825AE4">
            <w:pPr>
              <w:spacing w:line="240" w:lineRule="auto"/>
              <w:ind w:left="568" w:hanging="284"/>
              <w:rPr>
                <w:rFonts w:eastAsia="宋体"/>
              </w:rPr>
            </w:pPr>
            <w:r w:rsidRPr="00825AE4">
              <w:rPr>
                <w:rFonts w:eastAsia="宋体"/>
              </w:rPr>
              <w:t>-</w:t>
            </w:r>
            <w:r w:rsidRPr="00825AE4">
              <w:rPr>
                <w:rFonts w:eastAsia="宋体"/>
              </w:rPr>
              <w:tab/>
            </w:r>
            <w:r w:rsidRPr="00825AE4">
              <w:rPr>
                <w:rFonts w:eastAsia="宋体"/>
                <w:highlight w:val="yellow"/>
              </w:rPr>
              <w:t>The MME may provide to the UE</w:t>
            </w:r>
            <w:r w:rsidRPr="00825AE4">
              <w:rPr>
                <w:rFonts w:eastAsia="宋体"/>
              </w:rPr>
              <w:t xml:space="preserve"> a S&amp;F Wait Timer, </w:t>
            </w:r>
            <w:r w:rsidRPr="00825AE4">
              <w:rPr>
                <w:rFonts w:eastAsia="宋体"/>
                <w:highlight w:val="yellow"/>
              </w:rPr>
              <w:t>a S&amp;F Monitoring List</w:t>
            </w:r>
            <w:r w:rsidRPr="00825AE4">
              <w:rPr>
                <w:rFonts w:eastAsia="宋体"/>
              </w:rPr>
              <w:t xml:space="preserve"> or both when accepting or rejecting a NAS procedure.</w:t>
            </w:r>
          </w:p>
          <w:p w14:paraId="22B6A5EB" w14:textId="77777777" w:rsidR="00825AE4" w:rsidRPr="00825AE4" w:rsidRDefault="00825AE4" w:rsidP="00825AE4">
            <w:pPr>
              <w:keepLines/>
              <w:spacing w:line="240" w:lineRule="auto"/>
              <w:ind w:left="1135" w:hanging="851"/>
              <w:rPr>
                <w:rFonts w:eastAsia="宋体"/>
              </w:rPr>
            </w:pPr>
            <w:r w:rsidRPr="00825AE4">
              <w:rPr>
                <w:rFonts w:eastAsia="宋体"/>
              </w:rPr>
              <w:t>NOTE 3:</w:t>
            </w:r>
            <w:r w:rsidRPr="00825AE4">
              <w:rPr>
                <w:rFonts w:eastAsia="宋体"/>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4EFC894F" w14:textId="0BF1BAE2" w:rsidR="00825AE4" w:rsidRPr="00825AE4" w:rsidRDefault="00825AE4" w:rsidP="00825AE4">
            <w:pPr>
              <w:spacing w:line="240" w:lineRule="auto"/>
              <w:ind w:left="568" w:hanging="284"/>
              <w:rPr>
                <w:rFonts w:eastAsia="宋体"/>
              </w:rPr>
            </w:pPr>
            <w:r w:rsidRPr="00825AE4">
              <w:rPr>
                <w:rFonts w:eastAsia="宋体"/>
              </w:rPr>
              <w:lastRenderedPageBreak/>
              <w:tab/>
              <w:t>When the S&amp;F Wait Timer expires, the UE may perform a NAS procedure, which can be a subsequent NAS procedure or a reattempt of a NAS procedure previously rejected with a S&amp;F reject cause, with asatellite of the same PLMN that is operating in S&amp;F Mode.</w:t>
            </w:r>
            <w:r w:rsidRPr="00825AE4">
              <w:rPr>
                <w:rFonts w:eastAsia="宋体"/>
              </w:rPr>
              <w:tab/>
            </w:r>
            <w:r w:rsidRPr="00825AE4">
              <w:rPr>
                <w:rFonts w:eastAsia="宋体"/>
                <w:highlight w:val="yellow"/>
              </w:rPr>
              <w:t>The S&amp;F Monitoring List includes satellite(s) which belong to the same PLMN and indicates the satellite(s) that the UE may (re)attempt NAS procedures or receive MT data from.</w:t>
            </w:r>
            <w:r w:rsidRPr="00825AE4">
              <w:rPr>
                <w:rFonts w:eastAsia="宋体"/>
              </w:rPr>
              <w:t xml:space="preserve"> </w:t>
            </w:r>
          </w:p>
          <w:p w14:paraId="492C8B6B" w14:textId="77777777" w:rsidR="00825AE4" w:rsidRPr="00825AE4" w:rsidRDefault="00825AE4" w:rsidP="00825AE4">
            <w:pPr>
              <w:spacing w:line="240" w:lineRule="auto"/>
              <w:ind w:left="568" w:hanging="284"/>
              <w:rPr>
                <w:rFonts w:eastAsia="宋体"/>
              </w:rPr>
            </w:pPr>
            <w:r w:rsidRPr="00825AE4">
              <w:rPr>
                <w:rFonts w:eastAsia="宋体"/>
              </w:rPr>
              <w:t>-</w:t>
            </w:r>
            <w:r w:rsidRPr="00825AE4">
              <w:rPr>
                <w:rFonts w:eastAsia="宋体"/>
              </w:rPr>
              <w:tab/>
              <w:t>The MME may indicate to the UE that it should delete any previously provided S&amp;F Monitoring List for the current PLMN. When the S&amp;F Monitoring List is deleted then the UE may use any satellite(s).</w:t>
            </w:r>
          </w:p>
          <w:p w14:paraId="520DCC42" w14:textId="77777777" w:rsidR="00825AE4" w:rsidRDefault="00825AE4" w:rsidP="00825AE4">
            <w:pPr>
              <w:keepLines/>
              <w:spacing w:line="240" w:lineRule="auto"/>
              <w:ind w:left="1135" w:hanging="851"/>
              <w:rPr>
                <w:rFonts w:eastAsia="宋体"/>
              </w:rPr>
            </w:pPr>
            <w:r w:rsidRPr="00825AE4">
              <w:rPr>
                <w:rFonts w:eastAsia="宋体"/>
              </w:rPr>
              <w:t>NOTE A:</w:t>
            </w:r>
            <w:r w:rsidRPr="00825AE4">
              <w:rPr>
                <w:rFonts w:eastAsia="宋体"/>
              </w:rPr>
              <w:tab/>
            </w:r>
            <w:r w:rsidRPr="00825AE4">
              <w:rPr>
                <w:rFonts w:eastAsia="宋体" w:hint="eastAsia"/>
                <w:lang w:eastAsia="zh-CN"/>
              </w:rPr>
              <w:t>T</w:t>
            </w:r>
            <w:r w:rsidRPr="00825AE4">
              <w:rPr>
                <w:rFonts w:eastAsia="宋体"/>
              </w:rPr>
              <w:t>he S&amp;F Wait Timer or S&amp;F Monitoring List doesn’t affect the UE when accessing an eNodeB that does not broadcast an indication of operating in S&amp;F Mode.</w:t>
            </w:r>
            <w:bookmarkStart w:id="7" w:name="_Hlk188438641"/>
          </w:p>
          <w:p w14:paraId="7FF8EF70" w14:textId="5BD33E67" w:rsidR="007B4269" w:rsidRPr="007B4269" w:rsidRDefault="00825AE4" w:rsidP="00825AE4">
            <w:pPr>
              <w:keepLines/>
              <w:spacing w:line="240" w:lineRule="auto"/>
              <w:ind w:left="1135" w:hanging="851"/>
              <w:rPr>
                <w:rFonts w:eastAsia="宋体"/>
              </w:rPr>
            </w:pPr>
            <w:r w:rsidRPr="00825AE4">
              <w:rPr>
                <w:rFonts w:eastAsia="宋体"/>
              </w:rPr>
              <w:t>NOTE B:</w:t>
            </w:r>
            <w:r w:rsidRPr="00825AE4">
              <w:rPr>
                <w:rFonts w:eastAsia="宋体"/>
              </w:rPr>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bookmarkEnd w:id="7"/>
          </w:p>
        </w:tc>
      </w:tr>
    </w:tbl>
    <w:p w14:paraId="7646782C" w14:textId="07FA411C" w:rsidR="007B4269" w:rsidRPr="007B4269" w:rsidRDefault="007B4269" w:rsidP="00EF5794">
      <w:pPr>
        <w:spacing w:before="120" w:after="240" w:line="240" w:lineRule="auto"/>
        <w:jc w:val="both"/>
        <w:rPr>
          <w:b/>
          <w:bCs/>
        </w:rPr>
      </w:pPr>
      <w:r w:rsidRPr="007B4269">
        <w:rPr>
          <w:b/>
          <w:bCs/>
        </w:rPr>
        <w:lastRenderedPageBreak/>
        <w:t xml:space="preserve">Observation </w:t>
      </w:r>
      <w:r w:rsidR="00825AE4">
        <w:rPr>
          <w:b/>
          <w:bCs/>
        </w:rPr>
        <w:t>1</w:t>
      </w:r>
      <w:r w:rsidRPr="007B4269">
        <w:rPr>
          <w:b/>
          <w:bCs/>
        </w:rPr>
        <w:t>: To assist UE perform subsequent attach/TAU, the satellite ID provided by the NAS is globally unique</w:t>
      </w:r>
      <w:r w:rsidR="00825AE4">
        <w:rPr>
          <w:b/>
          <w:bCs/>
        </w:rPr>
        <w:t xml:space="preserve"> within the PLMN</w:t>
      </w:r>
      <w:r w:rsidRPr="007B4269">
        <w:rPr>
          <w:b/>
          <w:bCs/>
        </w:rPr>
        <w:t xml:space="preserve">. </w:t>
      </w:r>
    </w:p>
    <w:p w14:paraId="087D325D" w14:textId="303129FB" w:rsidR="007B4269" w:rsidRPr="007B4269" w:rsidRDefault="007B4269" w:rsidP="007B4269">
      <w:pPr>
        <w:spacing w:after="120" w:line="240" w:lineRule="auto"/>
        <w:jc w:val="both"/>
      </w:pPr>
      <w:r w:rsidRPr="007B4269">
        <w:t>Regarding the satellite ID used in SIB, according to the discussion in RAN2#122 [</w:t>
      </w:r>
      <w:r w:rsidR="00825AE4">
        <w:t>6</w:t>
      </w:r>
      <w:r w:rsidRPr="007B4269">
        <w:t xml:space="preserve">], the number of the satellite ID depends on the maximum number of satellites to be considered for mobility, but not the deployed satellite in the same or neighbour orbits. </w:t>
      </w:r>
    </w:p>
    <w:tbl>
      <w:tblPr>
        <w:tblStyle w:val="14"/>
        <w:tblW w:w="0" w:type="auto"/>
        <w:tblLook w:val="04A0" w:firstRow="1" w:lastRow="0" w:firstColumn="1" w:lastColumn="0" w:noHBand="0" w:noVBand="1"/>
      </w:tblPr>
      <w:tblGrid>
        <w:gridCol w:w="9629"/>
      </w:tblGrid>
      <w:tr w:rsidR="007B4269" w:rsidRPr="007B4269" w14:paraId="4E7CD164" w14:textId="77777777" w:rsidTr="0097035A">
        <w:tc>
          <w:tcPr>
            <w:tcW w:w="9629" w:type="dxa"/>
          </w:tcPr>
          <w:p w14:paraId="4601CF5C" w14:textId="77777777" w:rsidR="007B4269" w:rsidRPr="007B4269" w:rsidRDefault="007B4269" w:rsidP="007B4269">
            <w:pPr>
              <w:spacing w:after="120" w:line="240" w:lineRule="auto"/>
              <w:jc w:val="both"/>
            </w:pPr>
            <w:r w:rsidRPr="007B4269">
              <w:t>5.</w:t>
            </w:r>
            <w:r w:rsidRPr="007B4269">
              <w:tab/>
              <w:t>The satellite ID in the new SIB is an integer of X bits wherein X depends on the maximum number of satellites to be considered for mobility.</w:t>
            </w:r>
          </w:p>
        </w:tc>
      </w:tr>
    </w:tbl>
    <w:p w14:paraId="2579C26B" w14:textId="77777777" w:rsidR="007B4269" w:rsidRPr="007B4269" w:rsidRDefault="007B4269" w:rsidP="00876946">
      <w:pPr>
        <w:spacing w:before="120" w:after="120" w:line="240" w:lineRule="auto"/>
        <w:jc w:val="both"/>
      </w:pPr>
      <w:r w:rsidRPr="007B4269">
        <w:t xml:space="preserve">Based on the above agreements, our understanding is that the satellite ID used in SIBs is unique within the cell level, i.e., different cells may assign different satellite ID for the same satellite. </w:t>
      </w:r>
    </w:p>
    <w:p w14:paraId="4B245B96" w14:textId="3D63E330" w:rsidR="007B4269" w:rsidRPr="007B4269" w:rsidRDefault="007B4269" w:rsidP="00EF5794">
      <w:pPr>
        <w:spacing w:before="120" w:after="240" w:line="240" w:lineRule="auto"/>
        <w:jc w:val="both"/>
        <w:rPr>
          <w:b/>
          <w:bCs/>
        </w:rPr>
      </w:pPr>
      <w:bookmarkStart w:id="8" w:name="_Hlk178345273"/>
      <w:bookmarkStart w:id="9" w:name="_Hlk197086694"/>
      <w:r w:rsidRPr="007B4269">
        <w:rPr>
          <w:b/>
          <w:bCs/>
        </w:rPr>
        <w:t xml:space="preserve">Observation </w:t>
      </w:r>
      <w:r w:rsidR="00825AE4">
        <w:rPr>
          <w:b/>
          <w:bCs/>
        </w:rPr>
        <w:t>2</w:t>
      </w:r>
      <w:r w:rsidRPr="007B4269">
        <w:rPr>
          <w:b/>
          <w:bCs/>
        </w:rPr>
        <w:t>: The satellite ID used in the RAN is not a global ID</w:t>
      </w:r>
      <w:r w:rsidR="00825AE4">
        <w:rPr>
          <w:b/>
          <w:bCs/>
        </w:rPr>
        <w:t xml:space="preserve"> within the PLMN</w:t>
      </w:r>
      <w:r w:rsidRPr="007B4269">
        <w:rPr>
          <w:b/>
          <w:bCs/>
        </w:rPr>
        <w:t xml:space="preserve">, i.e., it is allocated by the eNB and it uniquely identifies a satellite within the cell. </w:t>
      </w:r>
    </w:p>
    <w:bookmarkEnd w:id="8"/>
    <w:bookmarkEnd w:id="9"/>
    <w:p w14:paraId="3CFC5234" w14:textId="10B850B1" w:rsidR="00293337" w:rsidRDefault="00825AE4" w:rsidP="007B4269">
      <w:pPr>
        <w:spacing w:after="120" w:line="240" w:lineRule="auto"/>
        <w:jc w:val="both"/>
      </w:pPr>
      <w:r>
        <w:t>Based on the analysis above, t</w:t>
      </w:r>
      <w:r w:rsidRPr="00825AE4">
        <w:t>he satellite ID in SIB</w:t>
      </w:r>
      <w:r>
        <w:t>(</w:t>
      </w:r>
      <w:r w:rsidRPr="00825AE4">
        <w:t>s</w:t>
      </w:r>
      <w:r>
        <w:t>)</w:t>
      </w:r>
      <w:r w:rsidRPr="00825AE4">
        <w:t xml:space="preserve"> is not globally unique, which only considers the satellite surrounding the current serving cell</w:t>
      </w:r>
      <w:r>
        <w:t>, while he</w:t>
      </w:r>
      <w:r w:rsidRPr="00825AE4">
        <w:t xml:space="preserve"> satellite ID in the S&amp;F monitoring list is globally unique</w:t>
      </w:r>
      <w:r>
        <w:t xml:space="preserve"> within the PLMN</w:t>
      </w:r>
      <w:r w:rsidRPr="00825AE4">
        <w:t xml:space="preserve">. Besides, there is only a satellite index within the S&amp;F monitoring list. Thus, there is ambiguity for UE to decide which ephemeris information and the association of satellite ID provided in S&amp;F monitoring list with the frequency or cell may not be sufficient. Restricted by such ambiguity, it is not possible to </w:t>
      </w:r>
      <w:r>
        <w:t>prioritise</w:t>
      </w:r>
      <w:r w:rsidRPr="00825AE4">
        <w:t xml:space="preserve"> frequency(ies)/cell(s) corresponding to the satellite(s) indicated in the MME-configured satellite list during </w:t>
      </w:r>
      <w:r>
        <w:t xml:space="preserve">the </w:t>
      </w:r>
      <w:r w:rsidRPr="00825AE4">
        <w:t>cell reselection procedure.</w:t>
      </w:r>
      <w:r w:rsidR="00293337">
        <w:t xml:space="preserve"> </w:t>
      </w:r>
      <w:r w:rsidR="00CD4380">
        <w:t>Maybe there is some scenario</w:t>
      </w:r>
      <w:r w:rsidR="000366B2">
        <w:t xml:space="preserve"> that </w:t>
      </w:r>
      <w:r w:rsidR="00CD4380">
        <w:t xml:space="preserve">the number of the </w:t>
      </w:r>
      <w:r w:rsidR="000366B2">
        <w:t>satellite in the orbit(s) is not large, UE can blindly try to consider the frequency/cells of the satellite(s) in the MME-configured satellite list, but this is up to UE implementation and it may not work well.</w:t>
      </w:r>
    </w:p>
    <w:p w14:paraId="3639C659" w14:textId="568EA340" w:rsidR="002B4AFF" w:rsidRDefault="00D32FE8" w:rsidP="00EF5794">
      <w:pPr>
        <w:spacing w:before="120" w:after="240" w:line="240" w:lineRule="auto"/>
        <w:jc w:val="both"/>
        <w:rPr>
          <w:b/>
          <w:bCs/>
        </w:rPr>
      </w:pPr>
      <w:bookmarkStart w:id="10" w:name="_Hlk197693769"/>
      <w:r w:rsidRPr="007B4269">
        <w:rPr>
          <w:b/>
          <w:bCs/>
        </w:rPr>
        <w:t xml:space="preserve">Proposal </w:t>
      </w:r>
      <w:r w:rsidR="00CD4380">
        <w:rPr>
          <w:b/>
          <w:bCs/>
        </w:rPr>
        <w:t>3</w:t>
      </w:r>
      <w:r w:rsidRPr="007B4269">
        <w:rPr>
          <w:b/>
          <w:bCs/>
        </w:rPr>
        <w:t xml:space="preserve">: </w:t>
      </w:r>
      <w:r>
        <w:rPr>
          <w:b/>
          <w:bCs/>
        </w:rPr>
        <w:t xml:space="preserve">RAN2 confirms </w:t>
      </w:r>
      <w:r w:rsidR="00183DAB">
        <w:rPr>
          <w:b/>
          <w:bCs/>
        </w:rPr>
        <w:t xml:space="preserve">whether and how </w:t>
      </w:r>
      <w:r w:rsidRPr="00D32FE8">
        <w:rPr>
          <w:b/>
          <w:bCs/>
        </w:rPr>
        <w:t xml:space="preserve">UE </w:t>
      </w:r>
      <w:r w:rsidR="00183DAB" w:rsidRPr="00183DAB">
        <w:rPr>
          <w:b/>
          <w:bCs/>
        </w:rPr>
        <w:t>prioritise the frequency(ies) corresponding to the satellite(s) indicated in the MME-configured satellite list</w:t>
      </w:r>
      <w:r w:rsidRPr="00D32FE8">
        <w:rPr>
          <w:b/>
          <w:bCs/>
        </w:rPr>
        <w:t>is up to UE implementation</w:t>
      </w:r>
      <w:r>
        <w:rPr>
          <w:b/>
          <w:bCs/>
        </w:rPr>
        <w:t>.</w:t>
      </w:r>
    </w:p>
    <w:bookmarkEnd w:id="10"/>
    <w:p w14:paraId="21F2B652" w14:textId="319B66F0" w:rsidR="00A3558A" w:rsidRPr="00383585" w:rsidRDefault="00A3558A" w:rsidP="00A3558A">
      <w:pPr>
        <w:keepNext/>
        <w:keepLines/>
        <w:tabs>
          <w:tab w:val="left" w:pos="852"/>
          <w:tab w:val="left" w:pos="1422"/>
        </w:tabs>
        <w:overflowPunct w:val="0"/>
        <w:autoSpaceDE w:val="0"/>
        <w:autoSpaceDN w:val="0"/>
        <w:adjustRightInd w:val="0"/>
        <w:spacing w:before="120" w:after="120" w:line="240" w:lineRule="auto"/>
        <w:ind w:left="357" w:hanging="357"/>
        <w:jc w:val="both"/>
        <w:textAlignment w:val="baseline"/>
        <w:outlineLvl w:val="1"/>
        <w:rPr>
          <w:rFonts w:ascii="Arial" w:eastAsia="宋体" w:hAnsi="Arial"/>
          <w:sz w:val="24"/>
          <w:szCs w:val="32"/>
          <w:lang w:eastAsia="zh-CN"/>
        </w:rPr>
      </w:pPr>
      <w:r>
        <w:rPr>
          <w:rFonts w:ascii="Arial" w:eastAsia="宋体" w:hAnsi="Arial"/>
          <w:sz w:val="24"/>
          <w:szCs w:val="32"/>
          <w:lang w:eastAsia="zh-CN"/>
        </w:rPr>
        <w:t xml:space="preserve">2.3 </w:t>
      </w:r>
      <w:r w:rsidRPr="00A3558A">
        <w:rPr>
          <w:rFonts w:ascii="Arial" w:eastAsia="宋体" w:hAnsi="Arial"/>
          <w:sz w:val="24"/>
          <w:szCs w:val="32"/>
          <w:lang w:eastAsia="zh-CN"/>
        </w:rPr>
        <w:t>S&amp;F capability</w:t>
      </w:r>
    </w:p>
    <w:p w14:paraId="0CFE673D" w14:textId="0337C149" w:rsidR="003556D8" w:rsidRDefault="003556D8" w:rsidP="003556D8">
      <w:pPr>
        <w:spacing w:before="120" w:after="120" w:line="240" w:lineRule="auto"/>
        <w:jc w:val="both"/>
      </w:pPr>
      <w:r>
        <w:t xml:space="preserve">According to the capability running CR [2], the S&amp;F AS UE capability is introduced. </w:t>
      </w:r>
    </w:p>
    <w:tbl>
      <w:tblPr>
        <w:tblStyle w:val="af3"/>
        <w:tblW w:w="0" w:type="auto"/>
        <w:tblLook w:val="04A0" w:firstRow="1" w:lastRow="0" w:firstColumn="1" w:lastColumn="0" w:noHBand="0" w:noVBand="1"/>
      </w:tblPr>
      <w:tblGrid>
        <w:gridCol w:w="9629"/>
      </w:tblGrid>
      <w:tr w:rsidR="003556D8" w14:paraId="27AA0DCA" w14:textId="77777777" w:rsidTr="003556D8">
        <w:tc>
          <w:tcPr>
            <w:tcW w:w="9629" w:type="dxa"/>
          </w:tcPr>
          <w:p w14:paraId="0A059BC1" w14:textId="77777777" w:rsidR="003556D8" w:rsidRPr="003556D8" w:rsidRDefault="003556D8" w:rsidP="003556D8">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ja-JP"/>
              </w:rPr>
            </w:pPr>
            <w:r w:rsidRPr="003556D8">
              <w:rPr>
                <w:rFonts w:ascii="Arial" w:eastAsia="宋体" w:hAnsi="Arial"/>
                <w:sz w:val="24"/>
                <w:lang w:eastAsia="ja-JP"/>
              </w:rPr>
              <w:t>4.3.</w:t>
            </w:r>
            <w:proofErr w:type="gramStart"/>
            <w:r w:rsidRPr="003556D8">
              <w:rPr>
                <w:rFonts w:ascii="Arial" w:eastAsia="宋体" w:hAnsi="Arial"/>
                <w:sz w:val="24"/>
                <w:lang w:eastAsia="ja-JP"/>
              </w:rPr>
              <w:t>38.xx</w:t>
            </w:r>
            <w:proofErr w:type="gramEnd"/>
            <w:r w:rsidRPr="003556D8">
              <w:rPr>
                <w:rFonts w:ascii="Arial" w:eastAsia="宋体" w:hAnsi="Arial"/>
                <w:sz w:val="24"/>
                <w:lang w:eastAsia="ja-JP"/>
              </w:rPr>
              <w:tab/>
            </w:r>
            <w:r w:rsidRPr="003556D8">
              <w:rPr>
                <w:rFonts w:ascii="Arial" w:eastAsia="宋体" w:hAnsi="Arial"/>
                <w:i/>
                <w:sz w:val="24"/>
                <w:lang w:eastAsia="ja-JP"/>
              </w:rPr>
              <w:t>ntn-StoreAndForward-r19</w:t>
            </w:r>
          </w:p>
          <w:p w14:paraId="57851601" w14:textId="78BBAB2B" w:rsidR="003556D8" w:rsidRPr="003556D8" w:rsidRDefault="003556D8" w:rsidP="003556D8">
            <w:pPr>
              <w:overflowPunct w:val="0"/>
              <w:autoSpaceDE w:val="0"/>
              <w:autoSpaceDN w:val="0"/>
              <w:adjustRightInd w:val="0"/>
              <w:spacing w:line="240" w:lineRule="auto"/>
              <w:textAlignment w:val="baseline"/>
              <w:rPr>
                <w:rFonts w:eastAsia="宋体"/>
                <w:lang w:eastAsia="en-GB"/>
              </w:rPr>
            </w:pPr>
            <w:r w:rsidRPr="003556D8">
              <w:rPr>
                <w:rFonts w:eastAsia="宋体"/>
                <w:lang w:eastAsia="ja-JP"/>
              </w:rPr>
              <w:t>This field defines whether the UE supports the store and forward operation when feeder link is not available</w:t>
            </w:r>
            <w:r w:rsidRPr="003556D8">
              <w:rPr>
                <w:rFonts w:eastAsia="MS Mincho"/>
                <w:lang w:eastAsia="ja-JP"/>
              </w:rPr>
              <w:t xml:space="preserve"> as defined in TS 36.331 [5].</w:t>
            </w:r>
            <w:r w:rsidRPr="003556D8">
              <w:rPr>
                <w:rFonts w:eastAsia="宋体"/>
                <w:lang w:eastAsia="en-GB"/>
              </w:rPr>
              <w:t xml:space="preserve"> </w:t>
            </w:r>
            <w:r w:rsidRPr="003556D8">
              <w:rPr>
                <w:rFonts w:eastAsia="宋体"/>
                <w:lang w:eastAsia="ja-JP"/>
              </w:rPr>
              <w:t xml:space="preserve">A UE supporting this feature shall also indicate the support of </w:t>
            </w:r>
            <w:r w:rsidRPr="003556D8">
              <w:rPr>
                <w:rFonts w:eastAsia="宋体"/>
                <w:i/>
                <w:lang w:eastAsia="ja-JP"/>
              </w:rPr>
              <w:t>ntn-Connectivity-EPC-r17</w:t>
            </w:r>
            <w:r w:rsidRPr="003556D8">
              <w:rPr>
                <w:rFonts w:eastAsia="MS PGothic" w:cs="Arial"/>
                <w:szCs w:val="18"/>
                <w:lang w:eastAsia="ja-JP"/>
              </w:rPr>
              <w:t>.</w:t>
            </w:r>
          </w:p>
        </w:tc>
      </w:tr>
    </w:tbl>
    <w:p w14:paraId="4E24DC3C" w14:textId="4A938EE5" w:rsidR="003556D8" w:rsidRDefault="00876946" w:rsidP="003556D8">
      <w:pPr>
        <w:spacing w:before="120" w:after="120" w:line="240" w:lineRule="auto"/>
        <w:jc w:val="both"/>
      </w:pPr>
      <w:r>
        <w:t xml:space="preserve">However, such UE capability is already introduced in the NAS </w:t>
      </w:r>
      <w:r w:rsidRPr="007B4269">
        <w:t>[</w:t>
      </w:r>
      <w:r>
        <w:t>5</w:t>
      </w:r>
      <w:r w:rsidRPr="007B4269">
        <w:t>]</w:t>
      </w:r>
      <w:r>
        <w:t xml:space="preserve">. </w:t>
      </w:r>
      <w:r w:rsidRPr="00876946">
        <w:t xml:space="preserve">Considering that a </w:t>
      </w:r>
      <w:r w:rsidR="000E2AB4">
        <w:t>NAS-level</w:t>
      </w:r>
      <w:r w:rsidRPr="00876946">
        <w:t xml:space="preserve"> UE capability has already been introduced, we do not see that this Uu capability is necessary. The network can potentially make use of the NAS level capability to handle the S&amp;F UEs. </w:t>
      </w:r>
    </w:p>
    <w:tbl>
      <w:tblPr>
        <w:tblStyle w:val="af3"/>
        <w:tblW w:w="0" w:type="auto"/>
        <w:tblLook w:val="04A0" w:firstRow="1" w:lastRow="0" w:firstColumn="1" w:lastColumn="0" w:noHBand="0" w:noVBand="1"/>
      </w:tblPr>
      <w:tblGrid>
        <w:gridCol w:w="9629"/>
      </w:tblGrid>
      <w:tr w:rsidR="00876946" w14:paraId="4F86A871" w14:textId="77777777" w:rsidTr="00876946">
        <w:tc>
          <w:tcPr>
            <w:tcW w:w="9629" w:type="dxa"/>
          </w:tcPr>
          <w:p w14:paraId="57B4D61B" w14:textId="17904E58" w:rsidR="00876946" w:rsidRPr="00876946" w:rsidRDefault="00876946" w:rsidP="00876946">
            <w:pPr>
              <w:spacing w:line="240" w:lineRule="auto"/>
              <w:rPr>
                <w:rFonts w:eastAsia="宋体"/>
              </w:rPr>
            </w:pPr>
            <w:r w:rsidRPr="00876946">
              <w:rPr>
                <w:rFonts w:eastAsia="宋体"/>
              </w:rPr>
              <w:t xml:space="preserve">When </w:t>
            </w:r>
            <w:bookmarkStart w:id="11" w:name="OLE_LINK24"/>
            <w:r w:rsidRPr="00876946">
              <w:rPr>
                <w:rFonts w:eastAsia="宋体"/>
              </w:rPr>
              <w:t xml:space="preserve">an on-board MME </w:t>
            </w:r>
            <w:bookmarkEnd w:id="11"/>
            <w:r w:rsidRPr="00876946">
              <w:rPr>
                <w:rFonts w:eastAsia="宋体"/>
              </w:rPr>
              <w:t xml:space="preserve">supports Store and Forward Satellite operation and is </w:t>
            </w:r>
            <w:bookmarkStart w:id="12" w:name="OLE_LINK26"/>
            <w:bookmarkStart w:id="13" w:name="OLE_LINK25"/>
            <w:r w:rsidRPr="00876946">
              <w:rPr>
                <w:rFonts w:eastAsia="宋体"/>
              </w:rPr>
              <w:t xml:space="preserve">operating </w:t>
            </w:r>
            <w:bookmarkEnd w:id="12"/>
            <w:r w:rsidRPr="00876946">
              <w:rPr>
                <w:rFonts w:eastAsia="宋体"/>
              </w:rPr>
              <w:t xml:space="preserve">in </w:t>
            </w:r>
            <w:bookmarkEnd w:id="13"/>
            <w:r w:rsidRPr="00876946">
              <w:rPr>
                <w:rFonts w:eastAsia="宋体"/>
              </w:rPr>
              <w:t xml:space="preserve">S&amp;F Mode, the on-board eNodeB broadcasts an indication of operating in S&amp;F Mode as described in TS 36.300 [5], which the UE uses to determine the current operation mode of the satellite. </w:t>
            </w:r>
            <w:r w:rsidRPr="00876946">
              <w:rPr>
                <w:rFonts w:eastAsia="宋体"/>
                <w:highlight w:val="yellow"/>
              </w:rPr>
              <w:t>If a UE is enabled for Store and Forward Satellite operation, then the UE indicates the S&amp;F capability during Attach and Tracking Area Update.</w:t>
            </w:r>
          </w:p>
        </w:tc>
      </w:tr>
    </w:tbl>
    <w:p w14:paraId="1C5AB7B8" w14:textId="74CC1740" w:rsidR="00876946" w:rsidRDefault="00876946" w:rsidP="00EF5794">
      <w:pPr>
        <w:spacing w:before="120" w:after="240" w:line="240" w:lineRule="auto"/>
        <w:jc w:val="both"/>
        <w:rPr>
          <w:b/>
          <w:bCs/>
        </w:rPr>
      </w:pPr>
      <w:bookmarkStart w:id="14" w:name="_Hlk197086715"/>
      <w:r w:rsidRPr="007B4269">
        <w:rPr>
          <w:b/>
          <w:bCs/>
        </w:rPr>
        <w:lastRenderedPageBreak/>
        <w:t xml:space="preserve">Proposal </w:t>
      </w:r>
      <w:r w:rsidR="00CD4380">
        <w:rPr>
          <w:b/>
          <w:bCs/>
        </w:rPr>
        <w:t>4</w:t>
      </w:r>
      <w:r w:rsidRPr="007B4269">
        <w:rPr>
          <w:b/>
          <w:bCs/>
        </w:rPr>
        <w:t xml:space="preserve">: </w:t>
      </w:r>
      <w:r>
        <w:rPr>
          <w:b/>
          <w:bCs/>
        </w:rPr>
        <w:t>No need to introduce AS S&amp;F UE capability, NW can rely on the NAS level S&amp;F UE capability to decide how to handle the UE.</w:t>
      </w:r>
    </w:p>
    <w:bookmarkEnd w:id="14"/>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t>Conclusion</w:t>
      </w:r>
    </w:p>
    <w:p w14:paraId="547B9F24" w14:textId="1CBDDA43"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1C201B">
        <w:rPr>
          <w:rStyle w:val="IvDbodytextChar"/>
          <w:rFonts w:ascii="Times New Roman" w:hAnsi="Times New Roman" w:cs="Times New Roman"/>
          <w:sz w:val="20"/>
          <w:szCs w:val="20"/>
          <w:lang w:eastAsia="zh-CN"/>
        </w:rPr>
        <w:t xml:space="preserve"> </w:t>
      </w:r>
      <w:r w:rsidR="00603783">
        <w:rPr>
          <w:rStyle w:val="IvDbodytextChar"/>
          <w:rFonts w:ascii="Times New Roman" w:hAnsi="Times New Roman" w:cs="Times New Roman"/>
          <w:sz w:val="20"/>
          <w:szCs w:val="20"/>
          <w:lang w:eastAsia="zh-CN"/>
        </w:rPr>
        <w:t>S&amp;F operation</w:t>
      </w:r>
      <w:r w:rsidR="000B7E46">
        <w:rPr>
          <w:rStyle w:val="IvDbodytextChar"/>
          <w:rFonts w:ascii="Times New Roman" w:hAnsi="Times New Roman" w:cs="Times New Roman"/>
          <w:sz w:val="20"/>
          <w:szCs w:val="20"/>
          <w:lang w:eastAsia="zh-CN"/>
        </w:rPr>
        <w:t xml:space="preserve"> aspect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observations and </w:t>
      </w:r>
      <w:r w:rsidR="002E25A3" w:rsidRPr="006B6F27">
        <w:rPr>
          <w:rFonts w:ascii="Times New Roman" w:eastAsia="宋体" w:hAnsi="Times New Roman"/>
          <w:lang w:eastAsia="zh-CN"/>
        </w:rPr>
        <w:t>proposals:</w:t>
      </w:r>
    </w:p>
    <w:p w14:paraId="15ECD627" w14:textId="248FDF90" w:rsidR="00603783" w:rsidRPr="00A23566" w:rsidRDefault="00603783" w:rsidP="00F1394F">
      <w:pPr>
        <w:pStyle w:val="aa"/>
        <w:spacing w:before="120" w:line="240" w:lineRule="auto"/>
        <w:jc w:val="both"/>
        <w:rPr>
          <w:rFonts w:ascii="Times New Roman" w:eastAsia="宋体" w:hAnsi="Times New Roman"/>
          <w:b/>
          <w:bCs/>
          <w:iCs/>
          <w:u w:val="single"/>
          <w:lang w:eastAsia="zh-CN"/>
        </w:rPr>
      </w:pPr>
      <w:r w:rsidRPr="00A23566">
        <w:rPr>
          <w:rFonts w:ascii="Times New Roman" w:eastAsia="宋体" w:hAnsi="Times New Roman"/>
          <w:b/>
          <w:bCs/>
          <w:iCs/>
          <w:u w:val="single"/>
          <w:lang w:eastAsia="zh-CN"/>
        </w:rPr>
        <w:t>Information for the normal mode to S&amp;F mode transition</w:t>
      </w:r>
      <w:r w:rsidR="003457B1" w:rsidRPr="00A23566">
        <w:rPr>
          <w:rFonts w:ascii="Times New Roman" w:eastAsia="宋体" w:hAnsi="Times New Roman"/>
          <w:b/>
          <w:bCs/>
          <w:iCs/>
          <w:u w:val="single"/>
          <w:lang w:eastAsia="zh-CN"/>
        </w:rPr>
        <w:t>:</w:t>
      </w:r>
    </w:p>
    <w:p w14:paraId="1A973CA0" w14:textId="59D7549E" w:rsidR="000B5D63" w:rsidRPr="007A0440" w:rsidRDefault="000B5D63" w:rsidP="00F1394F">
      <w:pPr>
        <w:spacing w:before="120" w:after="120" w:line="240" w:lineRule="auto"/>
        <w:jc w:val="both"/>
        <w:rPr>
          <w:b/>
          <w:bCs/>
        </w:rPr>
      </w:pPr>
      <w:r w:rsidRPr="007A0440">
        <w:rPr>
          <w:b/>
          <w:bCs/>
        </w:rPr>
        <w:t xml:space="preserve">Proposal 1: </w:t>
      </w:r>
      <w:r>
        <w:rPr>
          <w:b/>
          <w:bCs/>
        </w:rPr>
        <w:t xml:space="preserve">RAN2 to firstly discuss whether the S&amp;F capable UE is required to perform the cell </w:t>
      </w:r>
      <w:r w:rsidRPr="000B5D63">
        <w:rPr>
          <w:b/>
          <w:bCs/>
        </w:rPr>
        <w:t>re</w:t>
      </w:r>
      <w:r>
        <w:rPr>
          <w:b/>
          <w:bCs/>
        </w:rPr>
        <w:t xml:space="preserve">selection </w:t>
      </w:r>
      <w:r w:rsidRPr="000B5D63">
        <w:rPr>
          <w:rFonts w:hint="eastAsia"/>
          <w:b/>
          <w:bCs/>
        </w:rPr>
        <w:t>measurement</w:t>
      </w:r>
      <w:r>
        <w:rPr>
          <w:b/>
          <w:bCs/>
        </w:rPr>
        <w:t xml:space="preserve"> before or upon the normal mode to S&amp;F mode transition.  </w:t>
      </w:r>
    </w:p>
    <w:p w14:paraId="36FD921A" w14:textId="16036C19" w:rsidR="000B5D63" w:rsidRDefault="000B5D63" w:rsidP="00EF5794">
      <w:pPr>
        <w:spacing w:before="120" w:after="240" w:line="240" w:lineRule="auto"/>
        <w:jc w:val="both"/>
        <w:rPr>
          <w:b/>
          <w:bCs/>
        </w:rPr>
      </w:pPr>
      <w:r w:rsidRPr="007A0440">
        <w:rPr>
          <w:b/>
          <w:bCs/>
        </w:rPr>
        <w:t xml:space="preserve">Proposal </w:t>
      </w:r>
      <w:r>
        <w:rPr>
          <w:b/>
          <w:bCs/>
        </w:rPr>
        <w:t>2</w:t>
      </w:r>
      <w:r w:rsidRPr="007A0440">
        <w:rPr>
          <w:b/>
          <w:bCs/>
        </w:rPr>
        <w:t xml:space="preserve">: </w:t>
      </w:r>
      <w:r>
        <w:rPr>
          <w:b/>
          <w:bCs/>
        </w:rPr>
        <w:t xml:space="preserve">If </w:t>
      </w:r>
      <w:r w:rsidRPr="007078A0">
        <w:rPr>
          <w:b/>
          <w:bCs/>
        </w:rPr>
        <w:t xml:space="preserve">S&amp;F </w:t>
      </w:r>
      <w:r>
        <w:rPr>
          <w:b/>
          <w:bCs/>
        </w:rPr>
        <w:t xml:space="preserve">capable </w:t>
      </w:r>
      <w:r w:rsidRPr="007078A0">
        <w:rPr>
          <w:b/>
          <w:bCs/>
        </w:rPr>
        <w:t xml:space="preserve">UE </w:t>
      </w:r>
      <w:r>
        <w:rPr>
          <w:b/>
          <w:bCs/>
        </w:rPr>
        <w:t>is required to perform</w:t>
      </w:r>
      <w:r w:rsidRPr="007078A0">
        <w:rPr>
          <w:b/>
          <w:bCs/>
        </w:rPr>
        <w:t xml:space="preserve"> the cell reselection </w:t>
      </w:r>
      <w:r w:rsidRPr="000B5D63">
        <w:rPr>
          <w:rFonts w:hint="eastAsia"/>
          <w:b/>
          <w:bCs/>
        </w:rPr>
        <w:t>measurement</w:t>
      </w:r>
      <w:r>
        <w:rPr>
          <w:b/>
          <w:bCs/>
        </w:rPr>
        <w:t xml:space="preserve"> </w:t>
      </w:r>
      <w:r w:rsidRPr="007078A0">
        <w:rPr>
          <w:b/>
          <w:bCs/>
        </w:rPr>
        <w:t>before or upon the normal mode to S&amp;F mode transition</w:t>
      </w:r>
      <w:r>
        <w:rPr>
          <w:b/>
          <w:bCs/>
        </w:rPr>
        <w:t xml:space="preserve">, legacy T-service is reused. Otherwise, the new time information is introduced.  </w:t>
      </w:r>
    </w:p>
    <w:p w14:paraId="25723422" w14:textId="270922FC" w:rsidR="00603783" w:rsidRPr="007C6707" w:rsidRDefault="00603783" w:rsidP="00F1394F">
      <w:pPr>
        <w:spacing w:before="120" w:after="120" w:line="240" w:lineRule="auto"/>
        <w:jc w:val="both"/>
        <w:rPr>
          <w:rFonts w:eastAsia="宋体"/>
          <w:b/>
          <w:bCs/>
          <w:iCs/>
          <w:u w:val="single"/>
          <w:lang w:eastAsia="zh-CN"/>
        </w:rPr>
      </w:pPr>
      <w:r w:rsidRPr="007C6707">
        <w:rPr>
          <w:rFonts w:eastAsia="宋体"/>
          <w:b/>
          <w:bCs/>
          <w:iCs/>
          <w:u w:val="single"/>
          <w:lang w:eastAsia="zh-CN"/>
        </w:rPr>
        <w:t>Usage of the S&amp;F monitoring list</w:t>
      </w:r>
      <w:r w:rsidR="003457B1" w:rsidRPr="007C6707">
        <w:rPr>
          <w:rFonts w:eastAsia="宋体"/>
          <w:b/>
          <w:bCs/>
          <w:iCs/>
          <w:u w:val="single"/>
          <w:lang w:eastAsia="zh-CN"/>
        </w:rPr>
        <w:t>:</w:t>
      </w:r>
    </w:p>
    <w:p w14:paraId="3FBCBE9F" w14:textId="7736FBF2" w:rsidR="00603783" w:rsidRDefault="00603783" w:rsidP="00F1394F">
      <w:pPr>
        <w:spacing w:before="120" w:after="120" w:line="240" w:lineRule="auto"/>
        <w:jc w:val="both"/>
        <w:rPr>
          <w:b/>
          <w:bCs/>
        </w:rPr>
      </w:pPr>
      <w:r w:rsidRPr="00603783">
        <w:rPr>
          <w:b/>
          <w:bCs/>
        </w:rPr>
        <w:t xml:space="preserve">Observation 1: To assist UE perform subsequent attach/TAU, the satellite ID provided by the NAS is globally unique within the PLMN. </w:t>
      </w:r>
    </w:p>
    <w:p w14:paraId="1B0FD177" w14:textId="77777777" w:rsidR="00603783" w:rsidRPr="00603783" w:rsidRDefault="00603783" w:rsidP="00F1394F">
      <w:pPr>
        <w:spacing w:before="120" w:after="120" w:line="240" w:lineRule="auto"/>
        <w:jc w:val="both"/>
        <w:rPr>
          <w:b/>
          <w:bCs/>
        </w:rPr>
      </w:pPr>
      <w:r w:rsidRPr="00603783">
        <w:rPr>
          <w:b/>
          <w:bCs/>
        </w:rPr>
        <w:t xml:space="preserve">Observation 2: The satellite ID used in the RAN is not a global ID within the PLMN, i.e., it is allocated by the eNB and it uniquely identifies a satellite within the cell. </w:t>
      </w:r>
    </w:p>
    <w:p w14:paraId="724771BB" w14:textId="2E0F7C02" w:rsidR="000366B2" w:rsidRDefault="000B5D63" w:rsidP="00EF5794">
      <w:pPr>
        <w:spacing w:before="120" w:after="240" w:line="240" w:lineRule="auto"/>
        <w:jc w:val="both"/>
        <w:rPr>
          <w:b/>
          <w:bCs/>
        </w:rPr>
      </w:pPr>
      <w:r w:rsidRPr="007B4269">
        <w:rPr>
          <w:b/>
          <w:bCs/>
        </w:rPr>
        <w:t xml:space="preserve">Proposal </w:t>
      </w:r>
      <w:r>
        <w:rPr>
          <w:b/>
          <w:bCs/>
        </w:rPr>
        <w:t>3</w:t>
      </w:r>
      <w:r w:rsidRPr="007B4269">
        <w:rPr>
          <w:b/>
          <w:bCs/>
        </w:rPr>
        <w:t xml:space="preserve">: </w:t>
      </w:r>
      <w:r>
        <w:rPr>
          <w:b/>
          <w:bCs/>
        </w:rPr>
        <w:t xml:space="preserve">RAN2 confirms whether and how </w:t>
      </w:r>
      <w:r w:rsidRPr="00D32FE8">
        <w:rPr>
          <w:b/>
          <w:bCs/>
        </w:rPr>
        <w:t xml:space="preserve">UE </w:t>
      </w:r>
      <w:r w:rsidRPr="00183DAB">
        <w:rPr>
          <w:b/>
          <w:bCs/>
        </w:rPr>
        <w:t>prioritise the frequency(ies) corresponding to the satellite(s) indicated in the MME-configured satellite list</w:t>
      </w:r>
      <w:r w:rsidRPr="00D32FE8">
        <w:rPr>
          <w:b/>
          <w:bCs/>
        </w:rPr>
        <w:t>is up to UE implementation</w:t>
      </w:r>
      <w:r>
        <w:rPr>
          <w:b/>
          <w:bCs/>
        </w:rPr>
        <w:t>.</w:t>
      </w:r>
    </w:p>
    <w:p w14:paraId="6538308D" w14:textId="56DE3E4E" w:rsidR="00603783" w:rsidRPr="0074505A" w:rsidRDefault="00603783" w:rsidP="00F1394F">
      <w:pPr>
        <w:spacing w:before="120" w:after="120" w:line="240" w:lineRule="auto"/>
        <w:jc w:val="both"/>
        <w:rPr>
          <w:rFonts w:eastAsia="宋体"/>
          <w:b/>
          <w:bCs/>
          <w:iCs/>
          <w:u w:val="single"/>
          <w:lang w:eastAsia="zh-CN"/>
        </w:rPr>
      </w:pPr>
      <w:bookmarkStart w:id="15" w:name="_GoBack"/>
      <w:r w:rsidRPr="0074505A">
        <w:rPr>
          <w:rFonts w:eastAsia="宋体"/>
          <w:b/>
          <w:bCs/>
          <w:iCs/>
          <w:u w:val="single"/>
          <w:lang w:eastAsia="zh-CN"/>
        </w:rPr>
        <w:t>S&amp;F capability</w:t>
      </w:r>
      <w:r w:rsidR="003457B1" w:rsidRPr="0074505A">
        <w:rPr>
          <w:rFonts w:eastAsia="宋体"/>
          <w:b/>
          <w:bCs/>
          <w:iCs/>
          <w:u w:val="single"/>
          <w:lang w:eastAsia="zh-CN"/>
        </w:rPr>
        <w:t>:</w:t>
      </w:r>
    </w:p>
    <w:bookmarkEnd w:id="15"/>
    <w:p w14:paraId="3A0153BE" w14:textId="6000556E" w:rsidR="000366B2" w:rsidRDefault="000366B2" w:rsidP="00EF5794">
      <w:pPr>
        <w:spacing w:before="120" w:after="240" w:line="240" w:lineRule="auto"/>
        <w:jc w:val="both"/>
        <w:rPr>
          <w:b/>
          <w:bCs/>
        </w:rPr>
      </w:pPr>
      <w:r w:rsidRPr="007B4269">
        <w:rPr>
          <w:b/>
          <w:bCs/>
        </w:rPr>
        <w:t xml:space="preserve">Proposal </w:t>
      </w:r>
      <w:r>
        <w:rPr>
          <w:b/>
          <w:bCs/>
        </w:rPr>
        <w:t>4</w:t>
      </w:r>
      <w:r w:rsidRPr="007B4269">
        <w:rPr>
          <w:b/>
          <w:bCs/>
        </w:rPr>
        <w:t xml:space="preserve">: </w:t>
      </w:r>
      <w:r>
        <w:rPr>
          <w:b/>
          <w:bCs/>
        </w:rPr>
        <w:t>No need to introduce AS S&amp;F UE capability, NW can rely on the NAS level S&amp;F UE capability to decide how to handle the UE.</w:t>
      </w:r>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3AF0B2DA" w14:textId="44EAEC9F" w:rsidR="009D7C35" w:rsidRDefault="0046529B" w:rsidP="009D7C35">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w:t>
      </w:r>
      <w:r w:rsidR="007C35B9">
        <w:rPr>
          <w:rFonts w:eastAsia="宋体" w:cs="Arial"/>
          <w:bCs/>
          <w:lang w:eastAsia="zh-CN"/>
        </w:rPr>
        <w:t>9</w:t>
      </w:r>
      <w:r w:rsidR="005B075A">
        <w:rPr>
          <w:rFonts w:eastAsia="宋体" w:cs="Arial"/>
          <w:bCs/>
          <w:lang w:eastAsia="zh-CN"/>
        </w:rPr>
        <w:t>bis</w:t>
      </w:r>
      <w:r w:rsidRPr="0046529B">
        <w:rPr>
          <w:rFonts w:eastAsia="宋体" w:cs="Arial"/>
          <w:bCs/>
          <w:lang w:eastAsia="zh-CN"/>
        </w:rPr>
        <w:t>_Meeting_Report_v1</w:t>
      </w:r>
      <w:r w:rsidR="009D7C35">
        <w:rPr>
          <w:rFonts w:eastAsia="宋体" w:cs="Arial"/>
          <w:bCs/>
          <w:lang w:eastAsia="zh-CN"/>
        </w:rPr>
        <w:t>.</w:t>
      </w:r>
    </w:p>
    <w:p w14:paraId="6D7F3BDC" w14:textId="77777777" w:rsidR="000E2AB4" w:rsidRDefault="000E2AB4"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0E2AB4">
        <w:rPr>
          <w:rFonts w:eastAsia="宋体" w:cs="Arial"/>
          <w:bCs/>
          <w:lang w:eastAsia="zh-CN"/>
        </w:rPr>
        <w:t>[Post129bis][313][R19 IoT NTN] capability CR (Qualcomm)</w:t>
      </w:r>
    </w:p>
    <w:p w14:paraId="4A5CA9DD" w14:textId="77777777" w:rsidR="000E2AB4" w:rsidRPr="00171EDC" w:rsidRDefault="000E2AB4" w:rsidP="000E2AB4">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171EDC">
        <w:rPr>
          <w:rFonts w:eastAsia="宋体" w:cs="Arial"/>
          <w:bCs/>
          <w:lang w:eastAsia="zh-CN"/>
        </w:rPr>
        <w:t>TS38.331, NR; Radio Resource Control (RRC); Protocol specification</w:t>
      </w:r>
      <w:r>
        <w:rPr>
          <w:rFonts w:eastAsia="宋体" w:cs="Arial" w:hint="eastAsia"/>
          <w:bCs/>
          <w:lang w:eastAsia="zh-CN"/>
        </w:rPr>
        <w:t>.</w:t>
      </w:r>
    </w:p>
    <w:p w14:paraId="3C2F3171" w14:textId="231842F0" w:rsidR="0046529B" w:rsidRDefault="000226F3" w:rsidP="00D37458">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w:t>
      </w:r>
      <w:r w:rsidR="000E2AB4">
        <w:rPr>
          <w:rFonts w:eastAsia="宋体" w:cs="Arial"/>
          <w:bCs/>
          <w:lang w:eastAsia="zh-CN"/>
        </w:rPr>
        <w:t>38.304</w:t>
      </w:r>
      <w:r w:rsidRPr="00990849">
        <w:rPr>
          <w:rFonts w:eastAsia="宋体" w:cs="Arial"/>
          <w:bCs/>
          <w:lang w:eastAsia="zh-CN"/>
        </w:rPr>
        <w:t xml:space="preserve">, </w:t>
      </w:r>
      <w:r w:rsidR="000E2AB4" w:rsidRPr="000E2AB4">
        <w:rPr>
          <w:rFonts w:eastAsia="宋体" w:cs="Arial"/>
          <w:bCs/>
          <w:lang w:eastAsia="zh-CN"/>
        </w:rPr>
        <w:t>NR; User Equipment (UE) procedures in Idle mode and in RRC Inactive state</w:t>
      </w:r>
      <w:r w:rsidR="0046529B">
        <w:rPr>
          <w:rFonts w:eastAsia="宋体" w:cs="Arial"/>
          <w:bCs/>
          <w:lang w:eastAsia="zh-CN"/>
        </w:rPr>
        <w:t>.</w:t>
      </w:r>
    </w:p>
    <w:p w14:paraId="2C5CEE8C" w14:textId="62249D31" w:rsidR="000E2AB4" w:rsidRPr="000E2AB4" w:rsidRDefault="000E2AB4" w:rsidP="000E2AB4">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0E2AB4">
        <w:rPr>
          <w:rFonts w:eastAsia="宋体" w:cs="Arial"/>
          <w:bCs/>
          <w:lang w:eastAsia="zh-CN"/>
        </w:rPr>
        <w:t>S2-2502513</w:t>
      </w:r>
      <w:r>
        <w:rPr>
          <w:rFonts w:eastAsia="宋体" w:cs="Arial"/>
          <w:bCs/>
          <w:lang w:eastAsia="zh-CN"/>
        </w:rPr>
        <w:t>,</w:t>
      </w:r>
      <w:r w:rsidRPr="000E2AB4">
        <w:rPr>
          <w:rFonts w:eastAsia="宋体" w:cs="Arial"/>
          <w:bCs/>
          <w:lang w:eastAsia="zh-CN"/>
        </w:rPr>
        <w:t xml:space="preserve"> Remove EN and clarification on UE behaviour</w:t>
      </w:r>
      <w:r w:rsidR="00257328">
        <w:rPr>
          <w:rFonts w:eastAsia="宋体" w:cs="Arial" w:hint="eastAsia"/>
          <w:bCs/>
          <w:lang w:eastAsia="zh-CN"/>
        </w:rPr>
        <w:t>.</w:t>
      </w:r>
    </w:p>
    <w:sectPr w:rsidR="000E2AB4" w:rsidRPr="000E2AB4">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41FA1" w14:textId="77777777" w:rsidR="00D37579" w:rsidRDefault="00D37579">
      <w:pPr>
        <w:spacing w:after="0" w:line="240" w:lineRule="auto"/>
      </w:pPr>
      <w:r>
        <w:separator/>
      </w:r>
    </w:p>
  </w:endnote>
  <w:endnote w:type="continuationSeparator" w:id="0">
    <w:p w14:paraId="78789268" w14:textId="77777777" w:rsidR="00D37579" w:rsidRDefault="00D37579">
      <w:pPr>
        <w:spacing w:after="0" w:line="240" w:lineRule="auto"/>
      </w:pPr>
      <w:r>
        <w:continuationSeparator/>
      </w:r>
    </w:p>
  </w:endnote>
  <w:endnote w:type="continuationNotice" w:id="1">
    <w:p w14:paraId="3AF0BAAD" w14:textId="77777777" w:rsidR="00D37579" w:rsidRDefault="00D375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392D" w14:textId="77777777" w:rsidR="00D37579" w:rsidRDefault="00D37579">
      <w:pPr>
        <w:spacing w:after="0" w:line="240" w:lineRule="auto"/>
      </w:pPr>
      <w:r>
        <w:separator/>
      </w:r>
    </w:p>
  </w:footnote>
  <w:footnote w:type="continuationSeparator" w:id="0">
    <w:p w14:paraId="68A02475" w14:textId="77777777" w:rsidR="00D37579" w:rsidRDefault="00D37579">
      <w:pPr>
        <w:spacing w:after="0" w:line="240" w:lineRule="auto"/>
      </w:pPr>
      <w:r>
        <w:continuationSeparator/>
      </w:r>
    </w:p>
  </w:footnote>
  <w:footnote w:type="continuationNotice" w:id="1">
    <w:p w14:paraId="36E57E47" w14:textId="77777777" w:rsidR="00D37579" w:rsidRDefault="00D375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39639CE"/>
    <w:multiLevelType w:val="hybridMultilevel"/>
    <w:tmpl w:val="9F4A534A"/>
    <w:lvl w:ilvl="0" w:tplc="F894DFD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D56"/>
    <w:multiLevelType w:val="hybridMultilevel"/>
    <w:tmpl w:val="758CD5F8"/>
    <w:lvl w:ilvl="0" w:tplc="B2A4C2D4">
      <w:numFmt w:val="bullet"/>
      <w:lvlText w:val=""/>
      <w:lvlJc w:val="left"/>
      <w:pPr>
        <w:ind w:left="1619" w:hanging="360"/>
      </w:pPr>
      <w:rPr>
        <w:rFonts w:ascii="Wingdings" w:eastAsia="MS Mincho" w:hAnsi="Wingdings" w:cs="Times New Roman" w:hint="default"/>
        <w:b w:val="0"/>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0F6919"/>
    <w:multiLevelType w:val="hybridMultilevel"/>
    <w:tmpl w:val="E11CA218"/>
    <w:lvl w:ilvl="0" w:tplc="1F8E159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B28"/>
    <w:multiLevelType w:val="hybridMultilevel"/>
    <w:tmpl w:val="CF8CD4A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1"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B16D71"/>
    <w:multiLevelType w:val="hybridMultilevel"/>
    <w:tmpl w:val="4524D0E6"/>
    <w:lvl w:ilvl="0" w:tplc="84EE0AC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9"/>
  </w:num>
  <w:num w:numId="2">
    <w:abstractNumId w:val="23"/>
  </w:num>
  <w:num w:numId="3">
    <w:abstractNumId w:val="0"/>
  </w:num>
  <w:num w:numId="4">
    <w:abstractNumId w:val="10"/>
  </w:num>
  <w:num w:numId="5">
    <w:abstractNumId w:val="7"/>
  </w:num>
  <w:num w:numId="6">
    <w:abstractNumId w:val="22"/>
  </w:num>
  <w:num w:numId="7">
    <w:abstractNumId w:val="28"/>
  </w:num>
  <w:num w:numId="8">
    <w:abstractNumId w:val="18"/>
  </w:num>
  <w:num w:numId="9">
    <w:abstractNumId w:val="17"/>
  </w:num>
  <w:num w:numId="10">
    <w:abstractNumId w:val="29"/>
  </w:num>
  <w:num w:numId="11">
    <w:abstractNumId w:val="29"/>
  </w:num>
  <w:num w:numId="12">
    <w:abstractNumId w:val="29"/>
  </w:num>
  <w:num w:numId="13">
    <w:abstractNumId w:val="29"/>
  </w:num>
  <w:num w:numId="14">
    <w:abstractNumId w:val="29"/>
  </w:num>
  <w:num w:numId="15">
    <w:abstractNumId w:val="29"/>
  </w:num>
  <w:num w:numId="16">
    <w:abstractNumId w:val="29"/>
  </w:num>
  <w:num w:numId="17">
    <w:abstractNumId w:val="29"/>
  </w:num>
  <w:num w:numId="18">
    <w:abstractNumId w:val="20"/>
  </w:num>
  <w:num w:numId="19">
    <w:abstractNumId w:val="15"/>
  </w:num>
  <w:num w:numId="20">
    <w:abstractNumId w:val="27"/>
  </w:num>
  <w:num w:numId="21">
    <w:abstractNumId w:val="31"/>
  </w:num>
  <w:num w:numId="22">
    <w:abstractNumId w:val="11"/>
  </w:num>
  <w:num w:numId="23">
    <w:abstractNumId w:val="25"/>
  </w:num>
  <w:num w:numId="24">
    <w:abstractNumId w:val="4"/>
  </w:num>
  <w:num w:numId="25">
    <w:abstractNumId w:val="3"/>
  </w:num>
  <w:num w:numId="26">
    <w:abstractNumId w:val="12"/>
  </w:num>
  <w:num w:numId="27">
    <w:abstractNumId w:val="14"/>
  </w:num>
  <w:num w:numId="28">
    <w:abstractNumId w:val="5"/>
  </w:num>
  <w:num w:numId="29">
    <w:abstractNumId w:val="21"/>
  </w:num>
  <w:num w:numId="30">
    <w:abstractNumId w:val="8"/>
  </w:num>
  <w:num w:numId="31">
    <w:abstractNumId w:val="26"/>
  </w:num>
  <w:num w:numId="32">
    <w:abstractNumId w:val="9"/>
  </w:num>
  <w:num w:numId="33">
    <w:abstractNumId w:val="6"/>
  </w:num>
  <w:num w:numId="34">
    <w:abstractNumId w:val="30"/>
  </w:num>
  <w:num w:numId="35">
    <w:abstractNumId w:val="16"/>
  </w:num>
  <w:num w:numId="36">
    <w:abstractNumId w:val="32"/>
  </w:num>
  <w:num w:numId="37">
    <w:abstractNumId w:val="13"/>
  </w:num>
  <w:num w:numId="38">
    <w:abstractNumId w:val="1"/>
  </w:num>
  <w:num w:numId="39">
    <w:abstractNumId w:val="2"/>
  </w:num>
  <w:num w:numId="40">
    <w:abstractNumId w:val="1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81">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sBQAn09Br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3BD"/>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66B2"/>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592"/>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321"/>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0F87"/>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40"/>
    <w:rsid w:val="000B4DD2"/>
    <w:rsid w:val="000B50A8"/>
    <w:rsid w:val="000B534A"/>
    <w:rsid w:val="000B54B2"/>
    <w:rsid w:val="000B5622"/>
    <w:rsid w:val="000B56D0"/>
    <w:rsid w:val="000B5C80"/>
    <w:rsid w:val="000B5D63"/>
    <w:rsid w:val="000B6B86"/>
    <w:rsid w:val="000B6B93"/>
    <w:rsid w:val="000B765B"/>
    <w:rsid w:val="000B786D"/>
    <w:rsid w:val="000B7E46"/>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7DC"/>
    <w:rsid w:val="000E0991"/>
    <w:rsid w:val="000E1D9B"/>
    <w:rsid w:val="000E1EEC"/>
    <w:rsid w:val="000E25F2"/>
    <w:rsid w:val="000E2826"/>
    <w:rsid w:val="000E2979"/>
    <w:rsid w:val="000E2AB4"/>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5164"/>
    <w:rsid w:val="00105902"/>
    <w:rsid w:val="001064C6"/>
    <w:rsid w:val="00106777"/>
    <w:rsid w:val="00106F4E"/>
    <w:rsid w:val="001074F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219"/>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0D5"/>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1EDC"/>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96"/>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3DAB"/>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01D"/>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27"/>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4D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A06"/>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3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BA9"/>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563E"/>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3337"/>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AFF"/>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AA3"/>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C45"/>
    <w:rsid w:val="00333F13"/>
    <w:rsid w:val="003348C7"/>
    <w:rsid w:val="00335706"/>
    <w:rsid w:val="00335ADD"/>
    <w:rsid w:val="00335CD3"/>
    <w:rsid w:val="00335F13"/>
    <w:rsid w:val="0033604C"/>
    <w:rsid w:val="0033615B"/>
    <w:rsid w:val="003361D3"/>
    <w:rsid w:val="0033654B"/>
    <w:rsid w:val="0033698B"/>
    <w:rsid w:val="00336A17"/>
    <w:rsid w:val="00336CB0"/>
    <w:rsid w:val="00336EC1"/>
    <w:rsid w:val="003372B0"/>
    <w:rsid w:val="003373D5"/>
    <w:rsid w:val="003375FE"/>
    <w:rsid w:val="0033770B"/>
    <w:rsid w:val="00337955"/>
    <w:rsid w:val="00337C55"/>
    <w:rsid w:val="0034000E"/>
    <w:rsid w:val="00340047"/>
    <w:rsid w:val="0034044D"/>
    <w:rsid w:val="00340513"/>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7B1"/>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F75"/>
    <w:rsid w:val="00354384"/>
    <w:rsid w:val="00355142"/>
    <w:rsid w:val="003556D8"/>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A69"/>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6B7D"/>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23F"/>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4DEC"/>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27C3"/>
    <w:rsid w:val="003C355F"/>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3A9"/>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4A3"/>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AE4"/>
    <w:rsid w:val="00410C14"/>
    <w:rsid w:val="0041105D"/>
    <w:rsid w:val="0041150B"/>
    <w:rsid w:val="00411859"/>
    <w:rsid w:val="00411BCB"/>
    <w:rsid w:val="00411DD4"/>
    <w:rsid w:val="004123D9"/>
    <w:rsid w:val="00412BB1"/>
    <w:rsid w:val="00412F78"/>
    <w:rsid w:val="00412FA3"/>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334"/>
    <w:rsid w:val="004174D6"/>
    <w:rsid w:val="00417F8B"/>
    <w:rsid w:val="00420A1A"/>
    <w:rsid w:val="00420B0D"/>
    <w:rsid w:val="00420C34"/>
    <w:rsid w:val="00420E7D"/>
    <w:rsid w:val="00421508"/>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11"/>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29B"/>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316E"/>
    <w:rsid w:val="004732A4"/>
    <w:rsid w:val="00473332"/>
    <w:rsid w:val="0047382A"/>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251"/>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5D0"/>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3CE7"/>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2FD4"/>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0F"/>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75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301"/>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29A"/>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CC3"/>
    <w:rsid w:val="005E0EFE"/>
    <w:rsid w:val="005E1227"/>
    <w:rsid w:val="005E1BBD"/>
    <w:rsid w:val="005E2853"/>
    <w:rsid w:val="005E287D"/>
    <w:rsid w:val="005E2B2D"/>
    <w:rsid w:val="005E2FE1"/>
    <w:rsid w:val="005E305C"/>
    <w:rsid w:val="005E33AD"/>
    <w:rsid w:val="005E3566"/>
    <w:rsid w:val="005E38E9"/>
    <w:rsid w:val="005E3A70"/>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783"/>
    <w:rsid w:val="006038DA"/>
    <w:rsid w:val="00603E88"/>
    <w:rsid w:val="00604053"/>
    <w:rsid w:val="0060405C"/>
    <w:rsid w:val="006044F2"/>
    <w:rsid w:val="00604A87"/>
    <w:rsid w:val="00604B68"/>
    <w:rsid w:val="00604BAD"/>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6F8"/>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1F76"/>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3DB"/>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561"/>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8A0"/>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2D4"/>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5E"/>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05A"/>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C33"/>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884"/>
    <w:rsid w:val="007969E3"/>
    <w:rsid w:val="00796BCC"/>
    <w:rsid w:val="00796CBA"/>
    <w:rsid w:val="00796F29"/>
    <w:rsid w:val="00796F5C"/>
    <w:rsid w:val="00797021"/>
    <w:rsid w:val="00797096"/>
    <w:rsid w:val="007972CC"/>
    <w:rsid w:val="0079741F"/>
    <w:rsid w:val="00797B5C"/>
    <w:rsid w:val="00797BB0"/>
    <w:rsid w:val="007A044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269"/>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5B9"/>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707"/>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5C2"/>
    <w:rsid w:val="007D576A"/>
    <w:rsid w:val="007D595C"/>
    <w:rsid w:val="007D5A32"/>
    <w:rsid w:val="007D6281"/>
    <w:rsid w:val="007D6463"/>
    <w:rsid w:val="007D67B1"/>
    <w:rsid w:val="007D6CEA"/>
    <w:rsid w:val="007D6FD3"/>
    <w:rsid w:val="007D704D"/>
    <w:rsid w:val="007D7241"/>
    <w:rsid w:val="007D73FB"/>
    <w:rsid w:val="007D74D5"/>
    <w:rsid w:val="007D76EF"/>
    <w:rsid w:val="007D7C6A"/>
    <w:rsid w:val="007E01FF"/>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7F7977"/>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AE4"/>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CB5"/>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0B7"/>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946"/>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31B"/>
    <w:rsid w:val="008E0537"/>
    <w:rsid w:val="008E0C2F"/>
    <w:rsid w:val="008E0D23"/>
    <w:rsid w:val="008E0D60"/>
    <w:rsid w:val="008E112C"/>
    <w:rsid w:val="008E12E3"/>
    <w:rsid w:val="008E1448"/>
    <w:rsid w:val="008E1682"/>
    <w:rsid w:val="008E189F"/>
    <w:rsid w:val="008E1D37"/>
    <w:rsid w:val="008E1EED"/>
    <w:rsid w:val="008E233C"/>
    <w:rsid w:val="008E2FC2"/>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A0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D9A"/>
    <w:rsid w:val="00905692"/>
    <w:rsid w:val="00905978"/>
    <w:rsid w:val="00905A5C"/>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2D7"/>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9A8"/>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8E3"/>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2D2"/>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3B7"/>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3B18"/>
    <w:rsid w:val="009A415A"/>
    <w:rsid w:val="009A42E1"/>
    <w:rsid w:val="009A45B7"/>
    <w:rsid w:val="009A4691"/>
    <w:rsid w:val="009A494A"/>
    <w:rsid w:val="009A4B5F"/>
    <w:rsid w:val="009A52E5"/>
    <w:rsid w:val="009A5411"/>
    <w:rsid w:val="009A56A6"/>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0EA"/>
    <w:rsid w:val="009B42FA"/>
    <w:rsid w:val="009B451F"/>
    <w:rsid w:val="009B472B"/>
    <w:rsid w:val="009B5146"/>
    <w:rsid w:val="009B5414"/>
    <w:rsid w:val="009B57B4"/>
    <w:rsid w:val="009B5C65"/>
    <w:rsid w:val="009B5EDB"/>
    <w:rsid w:val="009B799F"/>
    <w:rsid w:val="009B7E5D"/>
    <w:rsid w:val="009C00C1"/>
    <w:rsid w:val="009C01BE"/>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B52"/>
    <w:rsid w:val="009C5D32"/>
    <w:rsid w:val="009C5F7F"/>
    <w:rsid w:val="009C626C"/>
    <w:rsid w:val="009C6308"/>
    <w:rsid w:val="009C67F0"/>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D7C35"/>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2A4"/>
    <w:rsid w:val="009E536F"/>
    <w:rsid w:val="009E5A2B"/>
    <w:rsid w:val="009E6859"/>
    <w:rsid w:val="009E689E"/>
    <w:rsid w:val="009E6B30"/>
    <w:rsid w:val="009E731B"/>
    <w:rsid w:val="009E750C"/>
    <w:rsid w:val="009F11DA"/>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5A6"/>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C54"/>
    <w:rsid w:val="00A06F68"/>
    <w:rsid w:val="00A0715F"/>
    <w:rsid w:val="00A07396"/>
    <w:rsid w:val="00A0785B"/>
    <w:rsid w:val="00A07FD5"/>
    <w:rsid w:val="00A100A3"/>
    <w:rsid w:val="00A106AB"/>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142"/>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56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58A"/>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661F"/>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F9"/>
    <w:rsid w:val="00A86B45"/>
    <w:rsid w:val="00A86FA7"/>
    <w:rsid w:val="00A87390"/>
    <w:rsid w:val="00A8740B"/>
    <w:rsid w:val="00A8753E"/>
    <w:rsid w:val="00A87752"/>
    <w:rsid w:val="00A903DF"/>
    <w:rsid w:val="00A907F0"/>
    <w:rsid w:val="00A90927"/>
    <w:rsid w:val="00A90C77"/>
    <w:rsid w:val="00A90D2A"/>
    <w:rsid w:val="00A90E34"/>
    <w:rsid w:val="00A9148F"/>
    <w:rsid w:val="00A917F3"/>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628"/>
    <w:rsid w:val="00AD68C4"/>
    <w:rsid w:val="00AD6E99"/>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A1A"/>
    <w:rsid w:val="00AF2AFD"/>
    <w:rsid w:val="00AF2C4A"/>
    <w:rsid w:val="00AF2E7A"/>
    <w:rsid w:val="00AF313D"/>
    <w:rsid w:val="00AF318D"/>
    <w:rsid w:val="00AF3ADE"/>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7D7"/>
    <w:rsid w:val="00B548DD"/>
    <w:rsid w:val="00B54950"/>
    <w:rsid w:val="00B54E43"/>
    <w:rsid w:val="00B552D2"/>
    <w:rsid w:val="00B55B41"/>
    <w:rsid w:val="00B55DD0"/>
    <w:rsid w:val="00B55E8D"/>
    <w:rsid w:val="00B565B7"/>
    <w:rsid w:val="00B56680"/>
    <w:rsid w:val="00B56823"/>
    <w:rsid w:val="00B56829"/>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0B9"/>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2ED6"/>
    <w:rsid w:val="00B933BB"/>
    <w:rsid w:val="00B9367C"/>
    <w:rsid w:val="00B936C7"/>
    <w:rsid w:val="00B93987"/>
    <w:rsid w:val="00B93FFD"/>
    <w:rsid w:val="00B940B2"/>
    <w:rsid w:val="00B941BB"/>
    <w:rsid w:val="00B94800"/>
    <w:rsid w:val="00B94EAA"/>
    <w:rsid w:val="00B954FD"/>
    <w:rsid w:val="00B95700"/>
    <w:rsid w:val="00B95729"/>
    <w:rsid w:val="00B95CAD"/>
    <w:rsid w:val="00B96048"/>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5F09"/>
    <w:rsid w:val="00BA60AC"/>
    <w:rsid w:val="00BA61B4"/>
    <w:rsid w:val="00BA6553"/>
    <w:rsid w:val="00BA6A99"/>
    <w:rsid w:val="00BA6DCE"/>
    <w:rsid w:val="00BA6F72"/>
    <w:rsid w:val="00BA7317"/>
    <w:rsid w:val="00BA739D"/>
    <w:rsid w:val="00BA759C"/>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FF"/>
    <w:rsid w:val="00C06B06"/>
    <w:rsid w:val="00C06E4D"/>
    <w:rsid w:val="00C06ECC"/>
    <w:rsid w:val="00C0713B"/>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683"/>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2DCE"/>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37C9"/>
    <w:rsid w:val="00C53C38"/>
    <w:rsid w:val="00C53DE2"/>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058"/>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D4C"/>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BA5"/>
    <w:rsid w:val="00CB5DEA"/>
    <w:rsid w:val="00CB5E4D"/>
    <w:rsid w:val="00CB5EE8"/>
    <w:rsid w:val="00CB62BA"/>
    <w:rsid w:val="00CB63D4"/>
    <w:rsid w:val="00CB6418"/>
    <w:rsid w:val="00CB64A0"/>
    <w:rsid w:val="00CB6592"/>
    <w:rsid w:val="00CB65D6"/>
    <w:rsid w:val="00CB6840"/>
    <w:rsid w:val="00CB6F90"/>
    <w:rsid w:val="00CB78C3"/>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15"/>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380"/>
    <w:rsid w:val="00CD4583"/>
    <w:rsid w:val="00CD4D6B"/>
    <w:rsid w:val="00CD4DDB"/>
    <w:rsid w:val="00CD4F12"/>
    <w:rsid w:val="00CD4F79"/>
    <w:rsid w:val="00CD5200"/>
    <w:rsid w:val="00CD52DE"/>
    <w:rsid w:val="00CD557E"/>
    <w:rsid w:val="00CD59DD"/>
    <w:rsid w:val="00CD5A42"/>
    <w:rsid w:val="00CD5BCA"/>
    <w:rsid w:val="00CD5EFF"/>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279"/>
    <w:rsid w:val="00CE1627"/>
    <w:rsid w:val="00CE16A2"/>
    <w:rsid w:val="00CE1777"/>
    <w:rsid w:val="00CE17A8"/>
    <w:rsid w:val="00CE17E1"/>
    <w:rsid w:val="00CE1CD8"/>
    <w:rsid w:val="00CE215B"/>
    <w:rsid w:val="00CE2222"/>
    <w:rsid w:val="00CE2B68"/>
    <w:rsid w:val="00CE367A"/>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EB"/>
    <w:rsid w:val="00D00D51"/>
    <w:rsid w:val="00D01681"/>
    <w:rsid w:val="00D016FB"/>
    <w:rsid w:val="00D01A22"/>
    <w:rsid w:val="00D01B05"/>
    <w:rsid w:val="00D020E6"/>
    <w:rsid w:val="00D027A5"/>
    <w:rsid w:val="00D02EDB"/>
    <w:rsid w:val="00D02FCB"/>
    <w:rsid w:val="00D035B0"/>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4A4"/>
    <w:rsid w:val="00D105D4"/>
    <w:rsid w:val="00D10863"/>
    <w:rsid w:val="00D1134F"/>
    <w:rsid w:val="00D1161A"/>
    <w:rsid w:val="00D1178B"/>
    <w:rsid w:val="00D117D4"/>
    <w:rsid w:val="00D11812"/>
    <w:rsid w:val="00D119A6"/>
    <w:rsid w:val="00D11B99"/>
    <w:rsid w:val="00D11B9B"/>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9C"/>
    <w:rsid w:val="00D237AF"/>
    <w:rsid w:val="00D23CFF"/>
    <w:rsid w:val="00D24CC9"/>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2FE8"/>
    <w:rsid w:val="00D333E7"/>
    <w:rsid w:val="00D334FC"/>
    <w:rsid w:val="00D33B6C"/>
    <w:rsid w:val="00D34F2D"/>
    <w:rsid w:val="00D3527C"/>
    <w:rsid w:val="00D3531D"/>
    <w:rsid w:val="00D3546D"/>
    <w:rsid w:val="00D35B42"/>
    <w:rsid w:val="00D36D6E"/>
    <w:rsid w:val="00D36E2F"/>
    <w:rsid w:val="00D37228"/>
    <w:rsid w:val="00D37458"/>
    <w:rsid w:val="00D37579"/>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661"/>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79"/>
    <w:rsid w:val="00D932B5"/>
    <w:rsid w:val="00D933C3"/>
    <w:rsid w:val="00D93422"/>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0B8"/>
    <w:rsid w:val="00DA230B"/>
    <w:rsid w:val="00DA2702"/>
    <w:rsid w:val="00DA2D58"/>
    <w:rsid w:val="00DA3408"/>
    <w:rsid w:val="00DA35D6"/>
    <w:rsid w:val="00DA3615"/>
    <w:rsid w:val="00DA37C7"/>
    <w:rsid w:val="00DA394B"/>
    <w:rsid w:val="00DA3A36"/>
    <w:rsid w:val="00DA3C13"/>
    <w:rsid w:val="00DA3D8C"/>
    <w:rsid w:val="00DA3E28"/>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E0F"/>
    <w:rsid w:val="00DB2490"/>
    <w:rsid w:val="00DB28D3"/>
    <w:rsid w:val="00DB2933"/>
    <w:rsid w:val="00DB3474"/>
    <w:rsid w:val="00DB35F0"/>
    <w:rsid w:val="00DB3604"/>
    <w:rsid w:val="00DB381D"/>
    <w:rsid w:val="00DB3915"/>
    <w:rsid w:val="00DB39F2"/>
    <w:rsid w:val="00DB3BA4"/>
    <w:rsid w:val="00DB42BD"/>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670"/>
    <w:rsid w:val="00DC5DF2"/>
    <w:rsid w:val="00DC604C"/>
    <w:rsid w:val="00DC6056"/>
    <w:rsid w:val="00DC60EC"/>
    <w:rsid w:val="00DC6298"/>
    <w:rsid w:val="00DC6C4A"/>
    <w:rsid w:val="00DC7074"/>
    <w:rsid w:val="00DC75E6"/>
    <w:rsid w:val="00DC7607"/>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D45"/>
    <w:rsid w:val="00E05E3F"/>
    <w:rsid w:val="00E05FBE"/>
    <w:rsid w:val="00E0604B"/>
    <w:rsid w:val="00E06372"/>
    <w:rsid w:val="00E06ABF"/>
    <w:rsid w:val="00E06B98"/>
    <w:rsid w:val="00E06D46"/>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F8"/>
    <w:rsid w:val="00E56F2B"/>
    <w:rsid w:val="00E572BE"/>
    <w:rsid w:val="00E5746A"/>
    <w:rsid w:val="00E57690"/>
    <w:rsid w:val="00E57A03"/>
    <w:rsid w:val="00E60512"/>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2D07"/>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6BEB"/>
    <w:rsid w:val="00ED728C"/>
    <w:rsid w:val="00ED750D"/>
    <w:rsid w:val="00ED7547"/>
    <w:rsid w:val="00ED7F6A"/>
    <w:rsid w:val="00EE004B"/>
    <w:rsid w:val="00EE02F0"/>
    <w:rsid w:val="00EE0B7B"/>
    <w:rsid w:val="00EE113B"/>
    <w:rsid w:val="00EE13A5"/>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794"/>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94F"/>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DE8"/>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3B82"/>
    <w:rsid w:val="00F4427B"/>
    <w:rsid w:val="00F443F7"/>
    <w:rsid w:val="00F445C5"/>
    <w:rsid w:val="00F4498F"/>
    <w:rsid w:val="00F44A2B"/>
    <w:rsid w:val="00F44A40"/>
    <w:rsid w:val="00F44B19"/>
    <w:rsid w:val="00F44B99"/>
    <w:rsid w:val="00F44BA9"/>
    <w:rsid w:val="00F4503B"/>
    <w:rsid w:val="00F4529C"/>
    <w:rsid w:val="00F457E9"/>
    <w:rsid w:val="00F458F7"/>
    <w:rsid w:val="00F45C05"/>
    <w:rsid w:val="00F46650"/>
    <w:rsid w:val="00F468D4"/>
    <w:rsid w:val="00F46BA2"/>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B33"/>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5BFF"/>
    <w:rsid w:val="00F660EF"/>
    <w:rsid w:val="00F66603"/>
    <w:rsid w:val="00F666BA"/>
    <w:rsid w:val="00F6698F"/>
    <w:rsid w:val="00F67168"/>
    <w:rsid w:val="00F67194"/>
    <w:rsid w:val="00F67722"/>
    <w:rsid w:val="00F67B56"/>
    <w:rsid w:val="00F67D23"/>
    <w:rsid w:val="00F70506"/>
    <w:rsid w:val="00F7070E"/>
    <w:rsid w:val="00F707B7"/>
    <w:rsid w:val="00F707BE"/>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D07"/>
    <w:rsid w:val="00F7730F"/>
    <w:rsid w:val="00F7738B"/>
    <w:rsid w:val="00F773D7"/>
    <w:rsid w:val="00F77465"/>
    <w:rsid w:val="00F77595"/>
    <w:rsid w:val="00F7775C"/>
    <w:rsid w:val="00F77BE8"/>
    <w:rsid w:val="00F80587"/>
    <w:rsid w:val="00F80CBF"/>
    <w:rsid w:val="00F81014"/>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97345"/>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1D49"/>
    <w:rsid w:val="00FA26A5"/>
    <w:rsid w:val="00FA294E"/>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65C"/>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6D8"/>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8FE"/>
    <w:rsid w:val="00FC5EF5"/>
    <w:rsid w:val="00FC5F31"/>
    <w:rsid w:val="00FC6028"/>
    <w:rsid w:val="00FC65F4"/>
    <w:rsid w:val="00FC68AF"/>
    <w:rsid w:val="00FC6A86"/>
    <w:rsid w:val="00FC6B2D"/>
    <w:rsid w:val="00FC7156"/>
    <w:rsid w:val="00FC7206"/>
    <w:rsid w:val="00FC742B"/>
    <w:rsid w:val="00FC7692"/>
    <w:rsid w:val="00FC771F"/>
    <w:rsid w:val="00FC7760"/>
    <w:rsid w:val="00FC7C62"/>
    <w:rsid w:val="00FD061D"/>
    <w:rsid w:val="00FD070D"/>
    <w:rsid w:val="00FD0860"/>
    <w:rsid w:val="00FD0AAB"/>
    <w:rsid w:val="00FD0E42"/>
    <w:rsid w:val="00FD0FE9"/>
    <w:rsid w:val="00FD141D"/>
    <w:rsid w:val="00FD144E"/>
    <w:rsid w:val="00FD1C1D"/>
    <w:rsid w:val="00FD1E98"/>
    <w:rsid w:val="00FD243D"/>
    <w:rsid w:val="00FD2907"/>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0F75"/>
    <w:rsid w:val="00FE14B7"/>
    <w:rsid w:val="00FE15CD"/>
    <w:rsid w:val="00FE1920"/>
    <w:rsid w:val="00FE205D"/>
    <w:rsid w:val="00FE2063"/>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0D9"/>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5D63"/>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tabs>
        <w:tab w:val="left" w:pos="1619"/>
      </w:tabs>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TANChar">
    <w:name w:val="TAN Char"/>
    <w:link w:val="TAN"/>
    <w:qFormat/>
    <w:rsid w:val="00D34F2D"/>
    <w:rPr>
      <w:rFonts w:ascii="Arial" w:hAnsi="Arial"/>
      <w:sz w:val="18"/>
      <w:lang w:val="en-GB" w:eastAsia="en-US"/>
    </w:rPr>
  </w:style>
  <w:style w:type="table" w:customStyle="1" w:styleId="14">
    <w:name w:val="网格型1"/>
    <w:basedOn w:val="a1"/>
    <w:next w:val="af3"/>
    <w:uiPriority w:val="59"/>
    <w:qFormat/>
    <w:rsid w:val="007B4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44172245">
      <w:bodyDiv w:val="1"/>
      <w:marLeft w:val="0"/>
      <w:marRight w:val="0"/>
      <w:marTop w:val="0"/>
      <w:marBottom w:val="0"/>
      <w:divBdr>
        <w:top w:val="none" w:sz="0" w:space="0" w:color="auto"/>
        <w:left w:val="none" w:sz="0" w:space="0" w:color="auto"/>
        <w:bottom w:val="none" w:sz="0" w:space="0" w:color="auto"/>
        <w:right w:val="none" w:sz="0" w:space="0" w:color="auto"/>
      </w:divBdr>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98194d48-cc26-4b7e-909f-baa95c83abfa"/>
    <ds:schemaRef ds:uri="http://www.w3.org/XML/1998/namespace"/>
    <ds:schemaRef ds:uri="1c248485-b98a-4513-a581-ff7cb1688d78"/>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88C605-3756-4588-9AE4-F0F4D4AF0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2037</Words>
  <Characters>11612</Characters>
  <Application>Microsoft Office Word</Application>
  <DocSecurity>0</DocSecurity>
  <Lines>96</Lines>
  <Paragraphs>27</Paragraphs>
  <ScaleCrop>false</ScaleCrop>
  <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2025-03-21T12:44:00Z</dcterms:created>
  <dcterms:modified xsi:type="dcterms:W3CDTF">2025-05-09T09:54:00Z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